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50D54" w14:textId="77777777" w:rsidR="00125048" w:rsidRDefault="006A2A7A">
      <w:pPr>
        <w:spacing w:line="259"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THE UNITED STATES DISTRICT COURT</w:t>
      </w:r>
    </w:p>
    <w:p w14:paraId="6BDD4620" w14:textId="77777777" w:rsidR="00125048" w:rsidRDefault="006A2A7A">
      <w:pPr>
        <w:spacing w:line="259"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FOR THE DISTRICT OF MINNESOTA</w:t>
      </w:r>
    </w:p>
    <w:p w14:paraId="22D82812" w14:textId="77777777" w:rsidR="00125048" w:rsidRDefault="00125048">
      <w:pPr>
        <w:spacing w:after="160" w:line="259" w:lineRule="auto"/>
        <w:jc w:val="center"/>
        <w:rPr>
          <w:rFonts w:ascii="Times New Roman" w:eastAsia="Times New Roman" w:hAnsi="Times New Roman" w:cs="Times New Roman"/>
          <w:b/>
          <w:sz w:val="26"/>
          <w:szCs w:val="26"/>
        </w:rPr>
      </w:pPr>
    </w:p>
    <w:tbl>
      <w:tblPr>
        <w:tblStyle w:val="a"/>
        <w:tblW w:w="935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1"/>
        <w:gridCol w:w="4649"/>
      </w:tblGrid>
      <w:tr w:rsidR="00125048" w14:paraId="1EFF25B4" w14:textId="77777777" w:rsidTr="006E2C5D">
        <w:tc>
          <w:tcPr>
            <w:tcW w:w="4701" w:type="dxa"/>
          </w:tcPr>
          <w:p w14:paraId="59860A7C"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064D2FFC" w14:textId="32042060" w:rsidR="00125048" w:rsidRDefault="00C54975">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PETITIONER</w:t>
            </w:r>
            <w:r w:rsidR="006A2A7A">
              <w:rPr>
                <w:rFonts w:ascii="Times New Roman" w:eastAsia="Times New Roman" w:hAnsi="Times New Roman" w:cs="Times New Roman"/>
                <w:sz w:val="26"/>
                <w:szCs w:val="26"/>
              </w:rPr>
              <w:t>,</w:t>
            </w:r>
          </w:p>
          <w:p w14:paraId="5A369077"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7A510EBA" w14:textId="77777777" w:rsidR="00125048" w:rsidRDefault="006A2A7A">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Petitioner,</w:t>
            </w:r>
          </w:p>
          <w:p w14:paraId="12AEEC2F" w14:textId="77777777" w:rsidR="00125048" w:rsidRDefault="006A2A7A">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w:t>
            </w:r>
          </w:p>
          <w:p w14:paraId="5BA78F3B"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462EA133" w14:textId="77777777" w:rsidR="00125048" w:rsidRDefault="006A2A7A">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William Barr</w:t>
            </w:r>
            <w:r>
              <w:rPr>
                <w:rFonts w:ascii="Times New Roman" w:eastAsia="Times New Roman" w:hAnsi="Times New Roman" w:cs="Times New Roman"/>
                <w:sz w:val="26"/>
                <w:szCs w:val="26"/>
              </w:rPr>
              <w:t>, U.S. Attorney General;</w:t>
            </w:r>
          </w:p>
          <w:p w14:paraId="05EB0868"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b/>
                <w:sz w:val="26"/>
                <w:szCs w:val="26"/>
                <w:highlight w:val="yellow"/>
                <w:u w:val="single"/>
              </w:rPr>
            </w:pPr>
          </w:p>
          <w:p w14:paraId="24AE4052" w14:textId="77777777" w:rsidR="00125048" w:rsidRDefault="006A2A7A">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Chad Wolf</w:t>
            </w:r>
            <w:r>
              <w:rPr>
                <w:rFonts w:ascii="Times New Roman" w:eastAsia="Times New Roman" w:hAnsi="Times New Roman" w:cs="Times New Roman"/>
                <w:sz w:val="26"/>
                <w:szCs w:val="26"/>
              </w:rPr>
              <w:t>, Acting Secretary, Department of Homeland Security;</w:t>
            </w:r>
          </w:p>
          <w:p w14:paraId="4BE648A7"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b/>
                <w:sz w:val="26"/>
                <w:szCs w:val="26"/>
              </w:rPr>
            </w:pPr>
          </w:p>
          <w:p w14:paraId="5C7E17B7" w14:textId="13AC7C82" w:rsidR="00125048" w:rsidRDefault="006E2C5D">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Tony Pham</w:t>
            </w:r>
            <w:r w:rsidR="006A2A7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Senior Official Performing the Duties of the</w:t>
            </w:r>
            <w:r w:rsidR="006A2A7A">
              <w:rPr>
                <w:rFonts w:ascii="Times New Roman" w:eastAsia="Times New Roman" w:hAnsi="Times New Roman" w:cs="Times New Roman"/>
                <w:sz w:val="26"/>
                <w:szCs w:val="26"/>
              </w:rPr>
              <w:t xml:space="preserve"> Director, Immigration and Customs Enforcement;</w:t>
            </w:r>
          </w:p>
          <w:p w14:paraId="6C60BAA5"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b/>
                <w:sz w:val="26"/>
                <w:szCs w:val="26"/>
              </w:rPr>
            </w:pPr>
          </w:p>
          <w:p w14:paraId="55E52CBF" w14:textId="5C82EB12" w:rsidR="00125048" w:rsidRDefault="006E2C5D">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Marcos Charles</w:t>
            </w:r>
            <w:r w:rsidR="006A2A7A">
              <w:rPr>
                <w:rFonts w:ascii="Times New Roman" w:eastAsia="Times New Roman" w:hAnsi="Times New Roman" w:cs="Times New Roman"/>
                <w:sz w:val="26"/>
                <w:szCs w:val="26"/>
              </w:rPr>
              <w:t>, Director, St. Paul Field Office, Immigration and Customs Enforcement; and</w:t>
            </w:r>
          </w:p>
          <w:p w14:paraId="53F28F4D"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b/>
                <w:sz w:val="26"/>
                <w:szCs w:val="26"/>
                <w:highlight w:val="yellow"/>
                <w:u w:val="single"/>
              </w:rPr>
            </w:pPr>
          </w:p>
          <w:p w14:paraId="1B7056BD" w14:textId="77777777" w:rsidR="00125048" w:rsidRDefault="006A2A7A">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Eric Holien</w:t>
            </w:r>
            <w:r>
              <w:rPr>
                <w:rFonts w:ascii="Times New Roman" w:eastAsia="Times New Roman" w:hAnsi="Times New Roman" w:cs="Times New Roman"/>
                <w:sz w:val="26"/>
                <w:szCs w:val="26"/>
              </w:rPr>
              <w:t>, Sheriff, Kandiyohi County</w:t>
            </w:r>
          </w:p>
          <w:p w14:paraId="3FBC5B5D"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3809DC4C" w14:textId="77777777" w:rsidR="00125048" w:rsidRDefault="006A2A7A">
            <w:pPr>
              <w:tabs>
                <w:tab w:val="left" w:pos="-1440"/>
                <w:tab w:val="left" w:pos="-720"/>
                <w:tab w:val="left" w:pos="0"/>
                <w:tab w:val="left" w:pos="1440"/>
                <w:tab w:val="left" w:pos="5760"/>
              </w:tabs>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w:t>
            </w:r>
          </w:p>
          <w:p w14:paraId="6D551D75"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tc>
        <w:tc>
          <w:tcPr>
            <w:tcW w:w="4649" w:type="dxa"/>
            <w:tcBorders>
              <w:top w:val="nil"/>
              <w:bottom w:val="nil"/>
            </w:tcBorders>
          </w:tcPr>
          <w:p w14:paraId="75580723"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4D16D0CF"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7F558237"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0E718333"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33C301E3"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5B2C2A72"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48652E1B"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6CA6A1B7"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4F96D680" w14:textId="77777777" w:rsidR="00125048" w:rsidRDefault="006A2A7A">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Civil Action No: 19-cv-</w:t>
            </w:r>
          </w:p>
          <w:p w14:paraId="68AFD16D"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3C023623" w14:textId="77777777" w:rsidR="00125048" w:rsidRDefault="00125048">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3BE3BA00" w14:textId="77777777" w:rsidR="00125048" w:rsidRDefault="006A2A7A">
            <w:pPr>
              <w:rPr>
                <w:rFonts w:ascii="Times New Roman" w:eastAsia="Times New Roman" w:hAnsi="Times New Roman" w:cs="Times New Roman"/>
                <w:b/>
                <w:smallCaps/>
                <w:sz w:val="26"/>
                <w:szCs w:val="26"/>
              </w:rPr>
            </w:pPr>
            <w:r>
              <w:rPr>
                <w:rFonts w:ascii="Times New Roman" w:eastAsia="Times New Roman" w:hAnsi="Times New Roman" w:cs="Times New Roman"/>
                <w:b/>
                <w:smallCaps/>
                <w:sz w:val="26"/>
                <w:szCs w:val="26"/>
              </w:rPr>
              <w:t>PETITION FOR WRIT OF HABEAS CORPUS</w:t>
            </w:r>
          </w:p>
          <w:p w14:paraId="2A63714F" w14:textId="77777777" w:rsidR="00125048" w:rsidRDefault="00125048">
            <w:pPr>
              <w:ind w:firstLine="720"/>
              <w:rPr>
                <w:rFonts w:ascii="Times New Roman" w:eastAsia="Times New Roman" w:hAnsi="Times New Roman" w:cs="Times New Roman"/>
                <w:b/>
                <w:smallCaps/>
                <w:sz w:val="26"/>
                <w:szCs w:val="26"/>
              </w:rPr>
            </w:pPr>
          </w:p>
          <w:p w14:paraId="43FEBF56" w14:textId="77777777" w:rsidR="00125048" w:rsidRDefault="00125048">
            <w:pPr>
              <w:rPr>
                <w:rFonts w:ascii="Times New Roman" w:eastAsia="Times New Roman" w:hAnsi="Times New Roman" w:cs="Times New Roman"/>
                <w:b/>
                <w:sz w:val="26"/>
                <w:szCs w:val="26"/>
              </w:rPr>
            </w:pPr>
          </w:p>
        </w:tc>
      </w:tr>
    </w:tbl>
    <w:p w14:paraId="3D562D9A" w14:textId="77777777" w:rsidR="00125048" w:rsidRDefault="00125048">
      <w:pPr>
        <w:spacing w:line="259" w:lineRule="auto"/>
        <w:rPr>
          <w:rFonts w:ascii="Times New Roman" w:eastAsia="Times New Roman" w:hAnsi="Times New Roman" w:cs="Times New Roman"/>
          <w:b/>
          <w:sz w:val="26"/>
          <w:szCs w:val="26"/>
        </w:rPr>
      </w:pPr>
    </w:p>
    <w:p w14:paraId="2E20442A" w14:textId="77777777" w:rsidR="00125048" w:rsidRDefault="006A2A7A">
      <w:pPr>
        <w:spacing w:after="160" w:line="259"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INTRODUCTION</w:t>
      </w:r>
    </w:p>
    <w:p w14:paraId="26E3C338" w14:textId="27836870"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t xml:space="preserve">Petitioner </w:t>
      </w:r>
      <w:r w:rsidR="00C54975">
        <w:rPr>
          <w:rFonts w:ascii="Times New Roman" w:eastAsia="Times New Roman" w:hAnsi="Times New Roman" w:cs="Times New Roman"/>
          <w:sz w:val="26"/>
          <w:szCs w:val="26"/>
        </w:rPr>
        <w:t>Petitioner</w:t>
      </w:r>
      <w:r>
        <w:rPr>
          <w:rFonts w:ascii="Times New Roman" w:eastAsia="Times New Roman" w:hAnsi="Times New Roman" w:cs="Times New Roman"/>
          <w:sz w:val="26"/>
          <w:szCs w:val="26"/>
        </w:rPr>
        <w:t xml:space="preserv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seeks a Writ of Habeas Corpus pursuant to 28 U.S.C. § 2241 to remedy his unlawful detention by the Department of Homeland Security (“DHS”) in violation of the Immigration and Nationality Act (“INA”) and the Due Process Clause of the Fifth Amendment to the United States Constitution.</w:t>
      </w:r>
    </w:p>
    <w:p w14:paraId="0AC50B85" w14:textId="375E4C12"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w:t>
      </w:r>
      <w:r>
        <w:rPr>
          <w:rFonts w:ascii="Times New Roman" w:eastAsia="Times New Roman" w:hAnsi="Times New Roman" w:cs="Times New Roman"/>
          <w:sz w:val="26"/>
          <w:szCs w:val="26"/>
        </w:rPr>
        <w:tab/>
        <w:t xml:space="preserve">The Department of Homeland Security (“DHS”) and its agents with Immigration and Customs Enforcement (“ICE”) arrested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on or about December 10, 2018, and have incarcerated him since that date in a county jail for a period that has now exceeded 361 days without opportunity for bond and with no end in sight to his detention.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Exh. C, I-213 Record of Deportable/Inadmissible Alien, at 7–9. ICE says the mandatory detention statute at 8 U.S.C. § 1226(c) authorizes its agents to jail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for the entire duration of his ongoing administrative removal proceedings because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poses a danger to the community due to his conviction for simple robbery under Minn. Stat. § 609.24. ICE is wrong. The federal government’s application of 8 U.S.C. § 1226(c) to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violates his fundamental right to liberty under the Due Process Clause of the Fifth Amendment to the U.S. Constitution.</w:t>
      </w:r>
    </w:p>
    <w:p w14:paraId="4457AE6E" w14:textId="3E21B042"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Pr>
          <w:rFonts w:ascii="Times New Roman" w:eastAsia="Times New Roman" w:hAnsi="Times New Roman" w:cs="Times New Roman"/>
          <w:sz w:val="26"/>
          <w:szCs w:val="26"/>
        </w:rPr>
        <w:tab/>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been in the United States since February 21, 2006, when he entered the country lawfully as a refugee.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Exh. D., IJ’s November 8, 2019 Order, at 15.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was previously in removal proceedings and was granted withholding of removal on December 22, 2011, because his father, who was an Oromo soldier, was killed because he refused to give information about the Oromo tribe to the Tigray tribe.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at 14–15.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was convicted of simple robbery on July 21, 2017.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Exh. C. at 6. ICE encountered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in custody on December 10, 2018, and took him into ICE custody. On December 13, 2018, DHS moved to reopen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case, claiming that his conviction for simple robbery barred him from withholding of removal relief under INA § 241(b)(3)(B)(ii).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filed an application for protection </w:t>
      </w:r>
      <w:r>
        <w:rPr>
          <w:rFonts w:ascii="Times New Roman" w:eastAsia="Times New Roman" w:hAnsi="Times New Roman" w:cs="Times New Roman"/>
          <w:sz w:val="26"/>
          <w:szCs w:val="26"/>
        </w:rPr>
        <w:lastRenderedPageBreak/>
        <w:t xml:space="preserve">under the Convention Against Torture (CAT), and a merits hearing was held before Immigration Judge Carr (IJ Carr) on July 9, 2019.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Exh. D. On November 8, 2009, IJ Carr terminated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prior grant of withholding of removal, denied his application for CAT relief, and ordered him removed to Ethiopia.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w:t>
      </w:r>
      <w:r w:rsidR="003F2A99">
        <w:rPr>
          <w:rFonts w:ascii="Times New Roman" w:eastAsia="Times New Roman" w:hAnsi="Times New Roman" w:cs="Times New Roman"/>
          <w:sz w:val="26"/>
          <w:szCs w:val="26"/>
        </w:rPr>
        <w:t xml:space="preserve">has delivered his </w:t>
      </w:r>
      <w:r>
        <w:rPr>
          <w:rFonts w:ascii="Times New Roman" w:eastAsia="Times New Roman" w:hAnsi="Times New Roman" w:cs="Times New Roman"/>
          <w:sz w:val="26"/>
          <w:szCs w:val="26"/>
        </w:rPr>
        <w:t xml:space="preserve">appeal </w:t>
      </w:r>
      <w:r w:rsidR="003F2A99">
        <w:rPr>
          <w:rFonts w:ascii="Times New Roman" w:eastAsia="Times New Roman" w:hAnsi="Times New Roman" w:cs="Times New Roman"/>
          <w:sz w:val="26"/>
          <w:szCs w:val="26"/>
        </w:rPr>
        <w:t xml:space="preserve">of </w:t>
      </w:r>
      <w:r>
        <w:rPr>
          <w:rFonts w:ascii="Times New Roman" w:eastAsia="Times New Roman" w:hAnsi="Times New Roman" w:cs="Times New Roman"/>
          <w:sz w:val="26"/>
          <w:szCs w:val="26"/>
        </w:rPr>
        <w:t xml:space="preserve">IJ Carr’s decision to the Board of Immigration Appeals (“BIA”) </w:t>
      </w:r>
      <w:r w:rsidR="003F2A99">
        <w:rPr>
          <w:rFonts w:ascii="Times New Roman" w:eastAsia="Times New Roman" w:hAnsi="Times New Roman" w:cs="Times New Roman"/>
          <w:sz w:val="26"/>
          <w:szCs w:val="26"/>
        </w:rPr>
        <w:t>in advance of</w:t>
      </w:r>
      <w:r>
        <w:rPr>
          <w:rFonts w:ascii="Times New Roman" w:eastAsia="Times New Roman" w:hAnsi="Times New Roman" w:cs="Times New Roman"/>
          <w:sz w:val="26"/>
          <w:szCs w:val="26"/>
        </w:rPr>
        <w:t xml:space="preserve"> the deadline on December </w:t>
      </w:r>
      <w:r w:rsidR="003F2A99">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2019. </w:t>
      </w:r>
    </w:p>
    <w:p w14:paraId="72CB85E1" w14:textId="6F825958"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Pr>
          <w:rFonts w:ascii="Times New Roman" w:eastAsia="Times New Roman" w:hAnsi="Times New Roman" w:cs="Times New Roman"/>
          <w:sz w:val="26"/>
          <w:szCs w:val="26"/>
        </w:rPr>
        <w:tab/>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continued and prolonged detention--now exceeding 361 days--violates the Due Process Clause of the Fifth Amendment, especially considering his substantial arguments against removal to Ethiopia. ICE has far exceeded the scope of its limited authority to deprive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of his physical liberty without affording him the most basic due process protections</w:t>
      </w:r>
      <w:r w:rsidR="00355BE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an individualized bond hearing before an impartial arbiter. Accordingly,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brings this Petition for Writ of Habeas Corpus to challenge his continued detention on statutory and constitutional grounds.</w:t>
      </w:r>
    </w:p>
    <w:p w14:paraId="04DBF35D" w14:textId="77777777" w:rsidR="00125048" w:rsidRDefault="006A2A7A">
      <w:pPr>
        <w:spacing w:after="160"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JURISDICTION AND VENUE</w:t>
      </w:r>
    </w:p>
    <w:p w14:paraId="0513FC8C" w14:textId="77777777"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Pr>
          <w:rFonts w:ascii="Times New Roman" w:eastAsia="Times New Roman" w:hAnsi="Times New Roman" w:cs="Times New Roman"/>
          <w:sz w:val="26"/>
          <w:szCs w:val="26"/>
        </w:rPr>
        <w:tab/>
        <w:t>The jurisdiction of this Court is invoked pursuant to 28 U.S.C. §§ 1331 (federal question); 1361 (federal employee mandamus action), § 1651 (All Writs Act), and §2241 (habeas corpus); U.S. Const. art. I, §9, cl. 2 (Suspension Clause); 5 U.S.C. § 702 (Administrative Procedure Act); and 28 U.S.C. § 2201 (Declaratory Judgment Act).</w:t>
      </w:r>
    </w:p>
    <w:p w14:paraId="6ACC3E74" w14:textId="01FE11C6"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Pr>
          <w:rFonts w:ascii="Times New Roman" w:eastAsia="Times New Roman" w:hAnsi="Times New Roman" w:cs="Times New Roman"/>
          <w:sz w:val="26"/>
          <w:szCs w:val="26"/>
        </w:rPr>
        <w:tab/>
        <w:t xml:space="preserve">Because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seeks to challenge his custody as a violation of the Constitution, laws, or treaties of the United States, jurisdiction is proper in this Court. Federal district courts have jurisdiction to hear habeas corpus claims by individuals </w:t>
      </w:r>
      <w:r>
        <w:rPr>
          <w:rFonts w:ascii="Times New Roman" w:eastAsia="Times New Roman" w:hAnsi="Times New Roman" w:cs="Times New Roman"/>
          <w:sz w:val="26"/>
          <w:szCs w:val="26"/>
        </w:rPr>
        <w:lastRenderedPageBreak/>
        <w:t xml:space="preserve">challenging the lawfulness or constitutionality of their detention by DHS. </w:t>
      </w:r>
      <w:r>
        <w:rPr>
          <w:rFonts w:ascii="Times New Roman" w:eastAsia="Times New Roman" w:hAnsi="Times New Roman" w:cs="Times New Roman"/>
          <w:i/>
          <w:sz w:val="26"/>
          <w:szCs w:val="26"/>
        </w:rPr>
        <w:t>Demore v. Kim</w:t>
      </w:r>
      <w:r>
        <w:rPr>
          <w:rFonts w:ascii="Times New Roman" w:eastAsia="Times New Roman" w:hAnsi="Times New Roman" w:cs="Times New Roman"/>
          <w:sz w:val="26"/>
          <w:szCs w:val="26"/>
        </w:rPr>
        <w:t xml:space="preserve">, 538 U.S. 510, 516-17 (2003); </w:t>
      </w:r>
      <w:r>
        <w:rPr>
          <w:rFonts w:ascii="Times New Roman" w:eastAsia="Times New Roman" w:hAnsi="Times New Roman" w:cs="Times New Roman"/>
          <w:i/>
          <w:sz w:val="26"/>
          <w:szCs w:val="26"/>
        </w:rPr>
        <w:t>Jennings v. Rodriguez</w:t>
      </w:r>
      <w:r>
        <w:rPr>
          <w:rFonts w:ascii="Times New Roman" w:eastAsia="Times New Roman" w:hAnsi="Times New Roman" w:cs="Times New Roman"/>
          <w:sz w:val="26"/>
          <w:szCs w:val="26"/>
        </w:rPr>
        <w:t>, 138 S.</w:t>
      </w:r>
      <w:r w:rsidR="00355B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Ct. 830, 839-41 (2018); </w:t>
      </w:r>
      <w:r>
        <w:rPr>
          <w:rFonts w:ascii="Times New Roman" w:eastAsia="Times New Roman" w:hAnsi="Times New Roman" w:cs="Times New Roman"/>
          <w:i/>
          <w:sz w:val="26"/>
          <w:szCs w:val="26"/>
        </w:rPr>
        <w:t>Nielsen v. Preap</w:t>
      </w:r>
      <w:r>
        <w:rPr>
          <w:rFonts w:ascii="Times New Roman" w:eastAsia="Times New Roman" w:hAnsi="Times New Roman" w:cs="Times New Roman"/>
          <w:sz w:val="26"/>
          <w:szCs w:val="26"/>
        </w:rPr>
        <w:t>, 139 S.</w:t>
      </w:r>
      <w:r w:rsidR="00355B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Ct. 954, 961-63 (2019);</w:t>
      </w:r>
      <w:r>
        <w:rPr>
          <w:rFonts w:ascii="Times New Roman" w:eastAsia="Times New Roman" w:hAnsi="Times New Roman" w:cs="Times New Roman"/>
          <w:i/>
          <w:sz w:val="26"/>
          <w:szCs w:val="26"/>
        </w:rPr>
        <w:t xml:space="preserve"> Moallin v. Cangemi</w:t>
      </w:r>
      <w:r>
        <w:rPr>
          <w:rFonts w:ascii="Times New Roman" w:eastAsia="Times New Roman" w:hAnsi="Times New Roman" w:cs="Times New Roman"/>
          <w:sz w:val="26"/>
          <w:szCs w:val="26"/>
        </w:rPr>
        <w:t>, 427 F.</w:t>
      </w:r>
      <w:r w:rsidR="00355B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Supp.</w:t>
      </w:r>
      <w:r w:rsidR="00355B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2d 908, 918-21 (D. Minn. 2006).</w:t>
      </w:r>
    </w:p>
    <w:p w14:paraId="3884DFCD" w14:textId="15AEC2F1"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Pr>
          <w:rFonts w:ascii="Times New Roman" w:eastAsia="Times New Roman" w:hAnsi="Times New Roman" w:cs="Times New Roman"/>
          <w:sz w:val="26"/>
          <w:szCs w:val="26"/>
        </w:rPr>
        <w:tab/>
        <w:t xml:space="preserve">Venue is proper in this District under 28 U.S.C. § 1391 because at least one of the Respondents is a resident of this District,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is detained within this District at the Kandiyohi County Jail in Willmar, Minnesota, and a substantial part of the events giving rise to the claims in this action took place in this District. 28 U.S.C. §§ 1391(b), (e)(1); 2241(d). </w:t>
      </w:r>
    </w:p>
    <w:p w14:paraId="5C8A9875" w14:textId="77777777" w:rsidR="00125048" w:rsidRDefault="006A2A7A">
      <w:pPr>
        <w:spacing w:after="160"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PARTIES</w:t>
      </w:r>
    </w:p>
    <w:p w14:paraId="4C07AA4D" w14:textId="2A743E4F"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Pr>
          <w:rFonts w:ascii="Times New Roman" w:eastAsia="Times New Roman" w:hAnsi="Times New Roman" w:cs="Times New Roman"/>
          <w:sz w:val="26"/>
          <w:szCs w:val="26"/>
        </w:rPr>
        <w:tab/>
        <w:t xml:space="preserve">Petitioner Mr. </w:t>
      </w:r>
      <w:r w:rsidR="00C54975">
        <w:rPr>
          <w:rFonts w:ascii="Times New Roman" w:eastAsia="Times New Roman" w:hAnsi="Times New Roman" w:cs="Times New Roman"/>
          <w:sz w:val="26"/>
          <w:szCs w:val="26"/>
        </w:rPr>
        <w:t>Petitioner</w:t>
      </w:r>
      <w:r>
        <w:rPr>
          <w:rFonts w:ascii="Times New Roman" w:eastAsia="Times New Roman" w:hAnsi="Times New Roman" w:cs="Times New Roman"/>
          <w:sz w:val="26"/>
          <w:szCs w:val="26"/>
        </w:rPr>
        <w:t xml:space="preserve"> is a citizen of Ethiopia.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been in the United States since February 21, 2006.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Exh. C. at 6.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’s administrative removal proceedings remain ongoing, as he will file an appeal of IJ Carr’s denial of CAT relief to the BIA before the filing deadline on December 8, 2019.  He is currently in the physical and legal custody of Respondents at the Kandiyohi County Jail at 2201 23rd St. NE, Willmar, Minnesota, 56201.</w:t>
      </w:r>
    </w:p>
    <w:p w14:paraId="5D1D3818" w14:textId="044A4012"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Pr>
          <w:rFonts w:ascii="Times New Roman" w:eastAsia="Times New Roman" w:hAnsi="Times New Roman" w:cs="Times New Roman"/>
          <w:sz w:val="26"/>
          <w:szCs w:val="26"/>
        </w:rPr>
        <w:tab/>
        <w:t xml:space="preserve">Respondent William Barr is the Attorney General of the United States and the head of the Department of Justice, which encompasses Immigration Judges and the Board of Immigration Appeals as a subunit—the Executive Office for Immigration Review.  Attorney General Barr shares responsibility for the administration and enforcement of the immigration laws, including the statutes authorizing detention within the INA, along with </w:t>
      </w:r>
      <w:r>
        <w:rPr>
          <w:rFonts w:ascii="Times New Roman" w:eastAsia="Times New Roman" w:hAnsi="Times New Roman" w:cs="Times New Roman"/>
          <w:sz w:val="26"/>
          <w:szCs w:val="26"/>
        </w:rPr>
        <w:lastRenderedPageBreak/>
        <w:t xml:space="preserve">Respondent Chad Wolf. Attorney General Barr is a legal custodian of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and is named in his official capacity. His official address is 950 Pennsylvania Avenue, NW, Washington, D.C. 20530. </w:t>
      </w:r>
    </w:p>
    <w:p w14:paraId="44FDCEAE" w14:textId="5BDFC644"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ab/>
        <w:t xml:space="preserve">Respondent Chad Wolf is the Acting Secretary of DHS. Acting Secretary Wolf is responsible for the administration and enforcement of the immigration laws, 8 U.S.C. § 1103(a), including pursuing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detention and removal. Acting Secretary Wolf is a legal custodian of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and is named in his official capacity. His official address is 245 Murray Lane, SW, Washington, D.C. 20528.</w:t>
      </w:r>
    </w:p>
    <w:p w14:paraId="57EEBA82" w14:textId="6903460A"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ab/>
        <w:t xml:space="preserve">Respondent Matthew Albence is the Acting Director of ICE, a subunit of DHS. Acting Director Albence is the head of the federal agency detaining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and has supervisory authority over ICE personnel in Minnesota. Acting Director Albence is a legal custodian of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and is named in his official capacity. His official address is 500 12th St., SW, Washington, D.C. 20024.</w:t>
      </w:r>
    </w:p>
    <w:p w14:paraId="7C75EA22" w14:textId="323F9667"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ab/>
        <w:t xml:space="preserve">Respondent Peter Berg is the Field Office Director for the St. Paul Field Office for ICE within DHS. Field Office Director Berg has supervisory authority over the ICE agents responsible for detaining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Field Office Director Berg is a legal custodian of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and is named in his official capacity. The address for the St. Paul Field Office is 1 Federal Drive, Suite 1601, Fort Snelling, MN 55111.</w:t>
      </w:r>
    </w:p>
    <w:p w14:paraId="52A4238B" w14:textId="18E68D09"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ab/>
        <w:t xml:space="preserve">Respondent Eric Holien is the Kandiyohi County Sheriff.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is detained at the Kandiyohi County Jail pursuant to its contract with ICE. Sheriff Holien is </w:t>
      </w:r>
      <w:r>
        <w:rPr>
          <w:rFonts w:ascii="Times New Roman" w:eastAsia="Times New Roman" w:hAnsi="Times New Roman" w:cs="Times New Roman"/>
          <w:sz w:val="26"/>
          <w:szCs w:val="26"/>
        </w:rPr>
        <w:lastRenderedPageBreak/>
        <w:t xml:space="preserve">a legal custodian of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and is named in his official capacity. The address for the Kandiyohi County Jail is 2201 23rd St. NE, Willmar, Minnesota, 56201.</w:t>
      </w:r>
    </w:p>
    <w:p w14:paraId="7DF47BCF" w14:textId="77777777" w:rsidR="00125048" w:rsidRDefault="006A2A7A">
      <w:pPr>
        <w:spacing w:after="160"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EXHAUSTION</w:t>
      </w:r>
    </w:p>
    <w:p w14:paraId="273EBF1E" w14:textId="7C2396CE"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ab/>
        <w:t xml:space="preserve">ICE asserts authority to jail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pursuant to the mandatory detention provisions of 8 U.S.C. § 1226(c).</w:t>
      </w:r>
    </w:p>
    <w:p w14:paraId="2D36B2BF" w14:textId="22B911F9"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ab/>
        <w:t xml:space="preserve">No statutory requirement of exhaustion applies to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challenge to the lawfulness of his detention. </w:t>
      </w:r>
      <w:r>
        <w:rPr>
          <w:rFonts w:ascii="Times New Roman" w:eastAsia="Times New Roman" w:hAnsi="Times New Roman" w:cs="Times New Roman"/>
          <w:i/>
          <w:sz w:val="26"/>
          <w:szCs w:val="26"/>
        </w:rPr>
        <w:t>See</w:t>
      </w:r>
      <w:r w:rsidRPr="003A2AA8">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e.g.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Araujo-Cortes v. Shanahan</w:t>
      </w:r>
      <w:r>
        <w:rPr>
          <w:rFonts w:ascii="Times New Roman" w:eastAsia="Times New Roman" w:hAnsi="Times New Roman" w:cs="Times New Roman"/>
          <w:sz w:val="26"/>
          <w:szCs w:val="26"/>
        </w:rPr>
        <w:t>, 35 F.</w:t>
      </w:r>
      <w:r w:rsidR="00355B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Supp.</w:t>
      </w:r>
      <w:r w:rsidR="00355B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3d 533, 538 (S.D.N.Y. 2014) (“There is no statutory requirement that a habeas petitioner exhaust his administrative remedies before challenging his immigration detention.”).</w:t>
      </w:r>
    </w:p>
    <w:p w14:paraId="267422DA" w14:textId="191CEB97"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 xml:space="preserve">To the extent that prudential consideration may require exhaustion in some circumstances,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exhausted all effective administrative remedies available to him. Prudential exhaustion is not required when to do so would be futile or “the administrative body . . . has . . . predetermined the issue before it.” </w:t>
      </w:r>
      <w:r>
        <w:rPr>
          <w:rFonts w:ascii="Times New Roman" w:eastAsia="Times New Roman" w:hAnsi="Times New Roman" w:cs="Times New Roman"/>
          <w:i/>
          <w:sz w:val="26"/>
          <w:szCs w:val="26"/>
        </w:rPr>
        <w:t>McCarthy v. Madigan</w:t>
      </w:r>
      <w:r>
        <w:rPr>
          <w:rFonts w:ascii="Times New Roman" w:eastAsia="Times New Roman" w:hAnsi="Times New Roman" w:cs="Times New Roman"/>
          <w:sz w:val="26"/>
          <w:szCs w:val="26"/>
        </w:rPr>
        <w:t xml:space="preserve">, 503 U.S. 140, 148 (1992), </w:t>
      </w:r>
      <w:r>
        <w:rPr>
          <w:rFonts w:ascii="Times New Roman" w:eastAsia="Times New Roman" w:hAnsi="Times New Roman" w:cs="Times New Roman"/>
          <w:i/>
          <w:sz w:val="26"/>
          <w:szCs w:val="26"/>
        </w:rPr>
        <w:t>superseded by statute on other grounds as stated in Woodford v. Ngo</w:t>
      </w:r>
      <w:r>
        <w:rPr>
          <w:rFonts w:ascii="Times New Roman" w:eastAsia="Times New Roman" w:hAnsi="Times New Roman" w:cs="Times New Roman"/>
          <w:sz w:val="26"/>
          <w:szCs w:val="26"/>
        </w:rPr>
        <w:t xml:space="preserve">, 548 U.S. 81 (2006). Here, no remedies exist to challenge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detention as the government will continue to assert detention authority under 8 U.S.C. § 1226(c). </w:t>
      </w:r>
      <w:r>
        <w:rPr>
          <w:rFonts w:ascii="Times New Roman" w:eastAsia="Times New Roman" w:hAnsi="Times New Roman" w:cs="Times New Roman"/>
          <w:i/>
          <w:sz w:val="26"/>
          <w:szCs w:val="26"/>
        </w:rPr>
        <w:t>See</w:t>
      </w:r>
      <w:r w:rsidRPr="003A2AA8">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e.g.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Jarpa v. Mumford</w:t>
      </w:r>
      <w:r>
        <w:rPr>
          <w:rFonts w:ascii="Times New Roman" w:eastAsia="Times New Roman" w:hAnsi="Times New Roman" w:cs="Times New Roman"/>
          <w:sz w:val="26"/>
          <w:szCs w:val="26"/>
        </w:rPr>
        <w:t>, 211 F.</w:t>
      </w:r>
      <w:r w:rsidR="00355B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Supp.</w:t>
      </w:r>
      <w:r w:rsidR="00355B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3d 706, 712 (D. Md. 2016) (“In light of the Government’s consistent position upholding categorical detention without any meaningful individualized bail review, exhaustion here would be futile.”); </w:t>
      </w:r>
      <w:r>
        <w:rPr>
          <w:rFonts w:ascii="Times New Roman" w:eastAsia="Times New Roman" w:hAnsi="Times New Roman" w:cs="Times New Roman"/>
          <w:i/>
          <w:sz w:val="26"/>
          <w:szCs w:val="26"/>
        </w:rPr>
        <w:t>Sengkeo v. Horgan</w:t>
      </w:r>
      <w:r>
        <w:rPr>
          <w:rFonts w:ascii="Times New Roman" w:eastAsia="Times New Roman" w:hAnsi="Times New Roman" w:cs="Times New Roman"/>
          <w:sz w:val="26"/>
          <w:szCs w:val="26"/>
        </w:rPr>
        <w:t>, 670 F.</w:t>
      </w:r>
      <w:r w:rsidR="00355B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Supp.</w:t>
      </w:r>
      <w:r w:rsidR="00355B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2d 116, 121-23 (D. Mass. 2009) (collecting cases and </w:t>
      </w:r>
      <w:r>
        <w:rPr>
          <w:rFonts w:ascii="Times New Roman" w:eastAsia="Times New Roman" w:hAnsi="Times New Roman" w:cs="Times New Roman"/>
          <w:sz w:val="26"/>
          <w:szCs w:val="26"/>
        </w:rPr>
        <w:lastRenderedPageBreak/>
        <w:t>concluding that “the BIA has clearly and repeatedly upheld the denial of a bond hearing under the view that § 1226(c) mandates detention without bond”).</w:t>
      </w:r>
    </w:p>
    <w:p w14:paraId="5069DA63" w14:textId="1EA7F3E6"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ab/>
        <w:t xml:space="preserve">Prudential exhaustion is also not required in cases where “a particular plaintiff may suffer irreparable harm if unable to secure immediate judicial consideration of his claim.” </w:t>
      </w:r>
      <w:r>
        <w:rPr>
          <w:rFonts w:ascii="Times New Roman" w:eastAsia="Times New Roman" w:hAnsi="Times New Roman" w:cs="Times New Roman"/>
          <w:i/>
          <w:sz w:val="26"/>
          <w:szCs w:val="26"/>
        </w:rPr>
        <w:t>McCarthy</w:t>
      </w:r>
      <w:r>
        <w:rPr>
          <w:rFonts w:ascii="Times New Roman" w:eastAsia="Times New Roman" w:hAnsi="Times New Roman" w:cs="Times New Roman"/>
          <w:sz w:val="26"/>
          <w:szCs w:val="26"/>
        </w:rPr>
        <w:t xml:space="preserve">, 503 U.S. at 147. Every day that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is unlawfully detained causes him and his family irreparable harm. </w:t>
      </w:r>
      <w:r>
        <w:rPr>
          <w:rFonts w:ascii="Times New Roman" w:eastAsia="Times New Roman" w:hAnsi="Times New Roman" w:cs="Times New Roman"/>
          <w:i/>
          <w:sz w:val="26"/>
          <w:szCs w:val="26"/>
        </w:rPr>
        <w:t>Jarpa</w:t>
      </w:r>
      <w:r>
        <w:rPr>
          <w:rFonts w:ascii="Times New Roman" w:eastAsia="Times New Roman" w:hAnsi="Times New Roman" w:cs="Times New Roman"/>
          <w:sz w:val="26"/>
          <w:szCs w:val="26"/>
        </w:rPr>
        <w:t>, 211 F.</w:t>
      </w:r>
      <w:r w:rsidR="00355B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Supp.</w:t>
      </w:r>
      <w:r w:rsidR="00355B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3d at 711 (“Here, continued loss of liberty without any individualized bail determination constitutes the kind of irreparable harm which forgives exhaustion.”); </w:t>
      </w:r>
      <w:r>
        <w:rPr>
          <w:rFonts w:ascii="Times New Roman" w:eastAsia="Times New Roman" w:hAnsi="Times New Roman" w:cs="Times New Roman"/>
          <w:i/>
          <w:sz w:val="26"/>
          <w:szCs w:val="26"/>
        </w:rPr>
        <w:t>Matacua v. Frank</w:t>
      </w:r>
      <w:r>
        <w:rPr>
          <w:rFonts w:ascii="Times New Roman" w:eastAsia="Times New Roman" w:hAnsi="Times New Roman" w:cs="Times New Roman"/>
          <w:sz w:val="26"/>
          <w:szCs w:val="26"/>
        </w:rPr>
        <w:t>, 308 F.</w:t>
      </w:r>
      <w:r w:rsidR="00355B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Supp.</w:t>
      </w:r>
      <w:r w:rsidR="00355B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3d 1019, 1025 (explaining that “a loss of liberty” is “perhaps the best example of irreparable harm”); </w:t>
      </w:r>
      <w:r>
        <w:rPr>
          <w:rFonts w:ascii="Times New Roman" w:eastAsia="Times New Roman" w:hAnsi="Times New Roman" w:cs="Times New Roman"/>
          <w:i/>
          <w:sz w:val="26"/>
          <w:szCs w:val="26"/>
        </w:rPr>
        <w:t>Hamama v. Adducci</w:t>
      </w:r>
      <w:r>
        <w:rPr>
          <w:rFonts w:ascii="Times New Roman" w:eastAsia="Times New Roman" w:hAnsi="Times New Roman" w:cs="Times New Roman"/>
          <w:sz w:val="26"/>
          <w:szCs w:val="26"/>
        </w:rPr>
        <w:t>, 349 F.</w:t>
      </w:r>
      <w:r w:rsidR="00355B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Supp.</w:t>
      </w:r>
      <w:r w:rsidR="00355B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3d 665, 701 (E.D. Mich. 2018) </w:t>
      </w:r>
      <w:r>
        <w:rPr>
          <w:rFonts w:ascii="Times New Roman" w:eastAsia="Times New Roman" w:hAnsi="Times New Roman" w:cs="Times New Roman"/>
          <w:i/>
          <w:sz w:val="26"/>
          <w:szCs w:val="26"/>
        </w:rPr>
        <w:t>rev’d on other grounds</w:t>
      </w:r>
      <w:r>
        <w:rPr>
          <w:rFonts w:ascii="Times New Roman" w:eastAsia="Times New Roman" w:hAnsi="Times New Roman" w:cs="Times New Roman"/>
          <w:sz w:val="26"/>
          <w:szCs w:val="26"/>
        </w:rPr>
        <w:t xml:space="preserve"> (holding that “detention has inflicted grave” and “irreparable harm” and describing the impact of prolonged detention on individuals and their families).</w:t>
      </w:r>
    </w:p>
    <w:p w14:paraId="07EBF5F7" w14:textId="59C323F9"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ab/>
        <w:t xml:space="preserve">Prudential exhaustion is additionally not required in cases where the agency “lacks the institutional competence to resolve the particular type of issue presented, such as the constitutionality of a statute.” </w:t>
      </w:r>
      <w:r>
        <w:rPr>
          <w:rFonts w:ascii="Times New Roman" w:eastAsia="Times New Roman" w:hAnsi="Times New Roman" w:cs="Times New Roman"/>
          <w:i/>
          <w:sz w:val="26"/>
          <w:szCs w:val="26"/>
        </w:rPr>
        <w:t>McCarthy</w:t>
      </w:r>
      <w:r>
        <w:rPr>
          <w:rFonts w:ascii="Times New Roman" w:eastAsia="Times New Roman" w:hAnsi="Times New Roman" w:cs="Times New Roman"/>
          <w:sz w:val="26"/>
          <w:szCs w:val="26"/>
        </w:rPr>
        <w:t xml:space="preserve">, 503 U.S. at 147-48. Immigration agencies have no jurisdiction over constitutional challenges of the kind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raises here. </w:t>
      </w:r>
      <w:r>
        <w:rPr>
          <w:rFonts w:ascii="Times New Roman" w:eastAsia="Times New Roman" w:hAnsi="Times New Roman" w:cs="Times New Roman"/>
          <w:i/>
          <w:sz w:val="26"/>
          <w:szCs w:val="26"/>
        </w:rPr>
        <w:t>See</w:t>
      </w:r>
      <w:r w:rsidRPr="003A2AA8">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e.g.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Matter of C-</w:t>
      </w:r>
      <w:r>
        <w:rPr>
          <w:rFonts w:ascii="Times New Roman" w:eastAsia="Times New Roman" w:hAnsi="Times New Roman" w:cs="Times New Roman"/>
          <w:sz w:val="26"/>
          <w:szCs w:val="26"/>
        </w:rPr>
        <w:t>, 20 I&amp;N Dec. 529, 532 (BIA 1992) (“[I]t is settled that the immigration judge and this Board lack jurisdiction to rule upon the constitutionality of the Act and the regulations.”);</w:t>
      </w:r>
      <w:r>
        <w:rPr>
          <w:rFonts w:ascii="Times New Roman" w:eastAsia="Times New Roman" w:hAnsi="Times New Roman" w:cs="Times New Roman"/>
          <w:i/>
          <w:sz w:val="26"/>
          <w:szCs w:val="26"/>
        </w:rPr>
        <w:t xml:space="preserve"> Matter of Akram</w:t>
      </w:r>
      <w:r>
        <w:rPr>
          <w:rFonts w:ascii="Times New Roman" w:eastAsia="Times New Roman" w:hAnsi="Times New Roman" w:cs="Times New Roman"/>
          <w:sz w:val="26"/>
          <w:szCs w:val="26"/>
        </w:rPr>
        <w:t xml:space="preserve">, 25 I&amp;N Dec. 874, 880 (BIA 2012); </w:t>
      </w:r>
      <w:r>
        <w:rPr>
          <w:rFonts w:ascii="Times New Roman" w:eastAsia="Times New Roman" w:hAnsi="Times New Roman" w:cs="Times New Roman"/>
          <w:i/>
          <w:sz w:val="26"/>
          <w:szCs w:val="26"/>
        </w:rPr>
        <w:t>Matter of Valdovinos</w:t>
      </w:r>
      <w:r>
        <w:rPr>
          <w:rFonts w:ascii="Times New Roman" w:eastAsia="Times New Roman" w:hAnsi="Times New Roman" w:cs="Times New Roman"/>
          <w:sz w:val="26"/>
          <w:szCs w:val="26"/>
        </w:rPr>
        <w:t>, 18 I&amp;N Dec. 343, 345 (BIA 1982).</w:t>
      </w:r>
    </w:p>
    <w:p w14:paraId="0247AAB9" w14:textId="56A8D4BD" w:rsidR="00125048" w:rsidRDefault="006A2A7A">
      <w:pPr>
        <w:spacing w:after="160" w:line="48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lastRenderedPageBreak/>
        <w:t>19.</w:t>
      </w:r>
      <w:r>
        <w:rPr>
          <w:rFonts w:ascii="Times New Roman" w:eastAsia="Times New Roman" w:hAnsi="Times New Roman" w:cs="Times New Roman"/>
          <w:sz w:val="26"/>
          <w:szCs w:val="26"/>
        </w:rPr>
        <w:tab/>
        <w:t xml:space="preserve">Because requiring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to exhaust administrative remedies would be futile</w:t>
      </w:r>
      <w:r w:rsidR="00355BE8">
        <w:rPr>
          <w:rFonts w:ascii="Times New Roman" w:eastAsia="Times New Roman" w:hAnsi="Times New Roman" w:cs="Times New Roman"/>
          <w:sz w:val="26"/>
          <w:szCs w:val="26"/>
        </w:rPr>
        <w:t xml:space="preserve"> and</w:t>
      </w:r>
      <w:r>
        <w:rPr>
          <w:rFonts w:ascii="Times New Roman" w:eastAsia="Times New Roman" w:hAnsi="Times New Roman" w:cs="Times New Roman"/>
          <w:sz w:val="26"/>
          <w:szCs w:val="26"/>
        </w:rPr>
        <w:t xml:space="preserve"> would cause him irreparable harm, and </w:t>
      </w:r>
      <w:r w:rsidR="00355BE8">
        <w:rPr>
          <w:rFonts w:ascii="Times New Roman" w:eastAsia="Times New Roman" w:hAnsi="Times New Roman" w:cs="Times New Roman"/>
          <w:sz w:val="26"/>
          <w:szCs w:val="26"/>
        </w:rPr>
        <w:t xml:space="preserve">because </w:t>
      </w:r>
      <w:r>
        <w:rPr>
          <w:rFonts w:ascii="Times New Roman" w:eastAsia="Times New Roman" w:hAnsi="Times New Roman" w:cs="Times New Roman"/>
          <w:sz w:val="26"/>
          <w:szCs w:val="26"/>
        </w:rPr>
        <w:t xml:space="preserve">the immigration agencies lack jurisdiction over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’s constitutional claims, this Court should not require exhaustion as a prudential matter.</w:t>
      </w:r>
    </w:p>
    <w:p w14:paraId="126D3235" w14:textId="77777777" w:rsidR="00125048" w:rsidRDefault="006A2A7A">
      <w:pPr>
        <w:spacing w:after="160"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STATEMENT OF FACTS AND PROCEDURAL HISTORY</w:t>
      </w:r>
    </w:p>
    <w:p w14:paraId="022BDB2D" w14:textId="72A9B873"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ab/>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been living in the United States as a refugee since February 21, 2006. When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was about three years old, his father, an Oromo soldier and member of the Oromo Liberation Front (OLF), was kidnapped by Tigray soldiers in Ethiopia.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Exh. D at 13. After his father’s kidnapping,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fled to a refugee camp in Kenya with his mother and siblings.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mother later returned to Ethiopia in search of her husband, but was discovered and killed by Tigray soldiers.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When he was approximately 8 or 9 years old,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and his brothers left the refugee camp and returned to their family home in Ethiopia.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Following their return, Tigray soldiers found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and his brothers at the family home and burned down the house with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and his brothers inside.</w:t>
      </w:r>
      <w:r>
        <w:rPr>
          <w:rFonts w:ascii="Times New Roman" w:eastAsia="Times New Roman" w:hAnsi="Times New Roman" w:cs="Times New Roman"/>
          <w:i/>
          <w:sz w:val="26"/>
          <w:szCs w:val="26"/>
        </w:rPr>
        <w:t xml:space="preserve"> Id</w:t>
      </w:r>
      <w:r>
        <w:rPr>
          <w:rFonts w:ascii="Times New Roman" w:eastAsia="Times New Roman" w:hAnsi="Times New Roman" w:cs="Times New Roman"/>
          <w:sz w:val="26"/>
          <w:szCs w:val="26"/>
        </w:rPr>
        <w:t xml:space="preserve">. One brother died in the fire and the other was shot and killed by soldiers after escaping the burning house.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suffered serious injuries and was in a coma for 23 days before returning to the refugee camp and eventually coming to the United States.</w:t>
      </w:r>
      <w:r>
        <w:rPr>
          <w:rFonts w:ascii="Times New Roman" w:eastAsia="Times New Roman" w:hAnsi="Times New Roman" w:cs="Times New Roman"/>
          <w:i/>
          <w:sz w:val="26"/>
          <w:szCs w:val="26"/>
        </w:rPr>
        <w:t xml:space="preserve"> Id</w:t>
      </w:r>
      <w:r>
        <w:rPr>
          <w:rFonts w:ascii="Times New Roman" w:eastAsia="Times New Roman" w:hAnsi="Times New Roman" w:cs="Times New Roman"/>
          <w:sz w:val="26"/>
          <w:szCs w:val="26"/>
        </w:rPr>
        <w:t xml:space="preserve">. </w:t>
      </w:r>
    </w:p>
    <w:p w14:paraId="6783EF23" w14:textId="481199D7"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 </w:t>
      </w:r>
      <w:r>
        <w:rPr>
          <w:rFonts w:ascii="Times New Roman" w:eastAsia="Times New Roman" w:hAnsi="Times New Roman" w:cs="Times New Roman"/>
          <w:sz w:val="26"/>
          <w:szCs w:val="26"/>
        </w:rPr>
        <w:tab/>
        <w:t xml:space="preserve">After entering the United States,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settled in Minnesota. On June 8, 2007,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was convicted of criminal sexual conduct in the second degree under Minn. Stat. § 609.343.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Exh. D at 14.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was a minor at the time of </w:t>
      </w:r>
      <w:r>
        <w:rPr>
          <w:rFonts w:ascii="Times New Roman" w:eastAsia="Times New Roman" w:hAnsi="Times New Roman" w:cs="Times New Roman"/>
          <w:sz w:val="26"/>
          <w:szCs w:val="26"/>
        </w:rPr>
        <w:lastRenderedPageBreak/>
        <w:t xml:space="preserve">conviction. On June 23, 2011, DHS initiated removal proceedings against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for failure to register as a sexual offender in violation of Minn. Stat. § 243.166, subd. 5(a).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filed applications for asylum, adjustment of status, and withholding of removal on August 16, 2011, due to his past persecution and fear of future persecution in Ethiopia. His application for withholding of removal was granted and removal proceedings were terminated on December 22, 2011.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Exh. B. at 4–5.</w:t>
      </w:r>
    </w:p>
    <w:p w14:paraId="4B7A0ED9" w14:textId="3057F50F"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22.      On July 17, 2012,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was convicted of theft under Minn. Stat. § 609.52 subd. 2.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Exh. C. at 8. He was later convicted of simple robbery on July 21, 2017.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On June 22, 2018, DHS moved to reopen removal proceedings in order to terminate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grant of withholding of removal, arguing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w:t>
      </w:r>
      <w:r w:rsidR="00355BE8">
        <w:rPr>
          <w:rFonts w:ascii="Times New Roman" w:eastAsia="Times New Roman" w:hAnsi="Times New Roman" w:cs="Times New Roman"/>
          <w:sz w:val="26"/>
          <w:szCs w:val="26"/>
        </w:rPr>
        <w:t xml:space="preserve">was </w:t>
      </w:r>
      <w:r>
        <w:rPr>
          <w:rFonts w:ascii="Times New Roman" w:eastAsia="Times New Roman" w:hAnsi="Times New Roman" w:cs="Times New Roman"/>
          <w:sz w:val="26"/>
          <w:szCs w:val="26"/>
        </w:rPr>
        <w:t xml:space="preserve">now ineligible on account of his criminal history.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at 7–8. The IJ granted DHS’s motion on July 11, 2018.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w:t>
      </w:r>
    </w:p>
    <w:p w14:paraId="2498725A" w14:textId="5940C856"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 xml:space="preserve">After being encountered by ICE at the Anoka County Jail,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was transferred into DHS custody on December 10, 2018, where he remains to this day.</w:t>
      </w:r>
    </w:p>
    <w:p w14:paraId="0767A02B" w14:textId="46E38BBC"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24.    As part of his reopened removal proceedings,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filed renewed applications for withholding of removal and CAT relief, and a merits hearing was held before IJ Carr on July 9, 2019. In a written decision dated November 8, 2019, IJ Carr found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had been convicted of a “particularly serious crime” under INA § 241(b)(3)(B)(ii), thus barring him from eligibility for withholding of removal.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Exh. D. at 16–26. IJ Carr further held that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failed to establish it is more likely than not he would suffer torture by the Ethiopian government, or with the government’s </w:t>
      </w:r>
      <w:r>
        <w:rPr>
          <w:rFonts w:ascii="Times New Roman" w:eastAsia="Times New Roman" w:hAnsi="Times New Roman" w:cs="Times New Roman"/>
          <w:sz w:val="26"/>
          <w:szCs w:val="26"/>
        </w:rPr>
        <w:lastRenderedPageBreak/>
        <w:t xml:space="preserve">acquiescence.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Based on these holdings, IJ Carr terminated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grant of withholding of removal, denied CAT relief, and ordered his removal.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w:t>
      </w:r>
      <w:r w:rsidR="00C54975">
        <w:rPr>
          <w:rFonts w:ascii="Times New Roman" w:eastAsia="Times New Roman" w:hAnsi="Times New Roman" w:cs="Times New Roman"/>
          <w:sz w:val="26"/>
          <w:szCs w:val="26"/>
        </w:rPr>
        <w:t>Mr. Petitioner</w:t>
      </w:r>
      <w:r w:rsidR="003F2A99">
        <w:rPr>
          <w:rFonts w:ascii="Times New Roman" w:eastAsia="Times New Roman" w:hAnsi="Times New Roman" w:cs="Times New Roman"/>
          <w:sz w:val="26"/>
          <w:szCs w:val="26"/>
        </w:rPr>
        <w:t xml:space="preserve">delivered his </w:t>
      </w:r>
      <w:r>
        <w:rPr>
          <w:rFonts w:ascii="Times New Roman" w:eastAsia="Times New Roman" w:hAnsi="Times New Roman" w:cs="Times New Roman"/>
          <w:sz w:val="26"/>
          <w:szCs w:val="26"/>
        </w:rPr>
        <w:t xml:space="preserve">appeal </w:t>
      </w:r>
      <w:r w:rsidR="003F2A99">
        <w:rPr>
          <w:rFonts w:ascii="Times New Roman" w:eastAsia="Times New Roman" w:hAnsi="Times New Roman" w:cs="Times New Roman"/>
          <w:sz w:val="26"/>
          <w:szCs w:val="26"/>
        </w:rPr>
        <w:t xml:space="preserve">of </w:t>
      </w:r>
      <w:r>
        <w:rPr>
          <w:rFonts w:ascii="Times New Roman" w:eastAsia="Times New Roman" w:hAnsi="Times New Roman" w:cs="Times New Roman"/>
          <w:sz w:val="26"/>
          <w:szCs w:val="26"/>
        </w:rPr>
        <w:t xml:space="preserve">IJ Carr’s decision to the BIA before the December </w:t>
      </w:r>
      <w:r w:rsidR="003F2A99">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2019, appeal deadline. </w:t>
      </w:r>
    </w:p>
    <w:p w14:paraId="2D785150" w14:textId="3D17596F"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25.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w:t>
      </w:r>
      <w:r w:rsidR="00355BE8">
        <w:rPr>
          <w:rFonts w:ascii="Times New Roman" w:eastAsia="Times New Roman" w:hAnsi="Times New Roman" w:cs="Times New Roman"/>
          <w:sz w:val="26"/>
          <w:szCs w:val="26"/>
        </w:rPr>
        <w:t xml:space="preserve">raised </w:t>
      </w:r>
      <w:r>
        <w:rPr>
          <w:rFonts w:ascii="Times New Roman" w:eastAsia="Times New Roman" w:hAnsi="Times New Roman" w:cs="Times New Roman"/>
          <w:sz w:val="26"/>
          <w:szCs w:val="26"/>
        </w:rPr>
        <w:t xml:space="preserve">many issues </w:t>
      </w:r>
      <w:r w:rsidR="00355BE8">
        <w:rPr>
          <w:rFonts w:ascii="Times New Roman" w:eastAsia="Times New Roman" w:hAnsi="Times New Roman" w:cs="Times New Roman"/>
          <w:sz w:val="26"/>
          <w:szCs w:val="26"/>
        </w:rPr>
        <w:t xml:space="preserve">on </w:t>
      </w:r>
      <w:r>
        <w:rPr>
          <w:rFonts w:ascii="Times New Roman" w:eastAsia="Times New Roman" w:hAnsi="Times New Roman" w:cs="Times New Roman"/>
          <w:sz w:val="26"/>
          <w:szCs w:val="26"/>
        </w:rPr>
        <w:t xml:space="preserve">appeal, including the lack of due process he was afforded when DHS moved to reopen his case based on his robbery conviction but later cited to other criminal convictions, whether his robbery conviction could be considered a crime of violence and a particularly serious crime, the fact that the NTA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was issued was undated, and the fact that the prior agency decision was not given deference under </w:t>
      </w:r>
      <w:r>
        <w:rPr>
          <w:rFonts w:ascii="Times New Roman" w:eastAsia="Times New Roman" w:hAnsi="Times New Roman" w:cs="Times New Roman"/>
          <w:i/>
          <w:sz w:val="26"/>
          <w:szCs w:val="26"/>
        </w:rPr>
        <w:t>Chevron</w:t>
      </w:r>
      <w:r>
        <w:rPr>
          <w:rFonts w:ascii="Times New Roman" w:eastAsia="Times New Roman" w:hAnsi="Times New Roman" w:cs="Times New Roman"/>
          <w:sz w:val="26"/>
          <w:szCs w:val="26"/>
        </w:rPr>
        <w:t xml:space="preserv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now been in ICE custody since December 10, 2018, a total of 361 days.</w:t>
      </w:r>
    </w:p>
    <w:p w14:paraId="7BD42CAC" w14:textId="25AF23A6"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26.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is in close contact with his United States citizen sister and plans to join her in Nebraska if released from DHS custody.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plans to finish his GED after leaving custody and is interested in becoming a cook or working at a meat packing facility.</w:t>
      </w:r>
    </w:p>
    <w:p w14:paraId="15C2AEAF" w14:textId="1FF1BA72"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27.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endured degrading treatment at Kandiyohi County Jail, including prison guards tossing his food trays on the floor. A guard made crude sexual comments to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while he was being strip-searched.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been targeted by several of the prison guards due to his Ethiopian ethnicity and Muslim religion. Although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submitted several complaints and grievance forms </w:t>
      </w:r>
      <w:r>
        <w:rPr>
          <w:rFonts w:ascii="Times New Roman" w:eastAsia="Times New Roman" w:hAnsi="Times New Roman" w:cs="Times New Roman"/>
          <w:sz w:val="26"/>
          <w:szCs w:val="26"/>
        </w:rPr>
        <w:lastRenderedPageBreak/>
        <w:t xml:space="preserve">to the supervisors in Kandiyohi, no one has told him that any remedial action would be taken to account for his maltreatment. </w:t>
      </w:r>
    </w:p>
    <w:p w14:paraId="68B42E23" w14:textId="77777777" w:rsidR="00125048" w:rsidRDefault="006A2A7A">
      <w:pPr>
        <w:spacing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LEGAL FRAMEWORK</w:t>
      </w:r>
    </w:p>
    <w:p w14:paraId="635AE841" w14:textId="350C6920" w:rsidR="00125048" w:rsidRDefault="006A2A7A">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RESPONDENTS’ MANDATORY DETENTION OF </w:t>
      </w:r>
      <w:r w:rsidR="00C54975">
        <w:rPr>
          <w:rFonts w:ascii="Times New Roman" w:eastAsia="Times New Roman" w:hAnsi="Times New Roman" w:cs="Times New Roman"/>
          <w:b/>
          <w:sz w:val="26"/>
          <w:szCs w:val="26"/>
        </w:rPr>
        <w:t>MR. PETITIONER</w:t>
      </w:r>
      <w:r>
        <w:rPr>
          <w:rFonts w:ascii="Times New Roman" w:eastAsia="Times New Roman" w:hAnsi="Times New Roman" w:cs="Times New Roman"/>
          <w:b/>
          <w:sz w:val="26"/>
          <w:szCs w:val="26"/>
        </w:rPr>
        <w:t xml:space="preserve"> UNDER 8 U.S.C. § 1226(C) VIOLATES THE DUE PROCESS CLAUSE OF THE FIFTH AMENDMENT TO THE U.S. CONSTITUTION.</w:t>
      </w:r>
    </w:p>
    <w:p w14:paraId="318CE2E6" w14:textId="77777777" w:rsidR="00125048" w:rsidRDefault="00125048">
      <w:pPr>
        <w:widowControl w:val="0"/>
        <w:spacing w:before="6" w:line="240" w:lineRule="auto"/>
        <w:jc w:val="center"/>
        <w:rPr>
          <w:rFonts w:ascii="Times New Roman" w:eastAsia="Times New Roman" w:hAnsi="Times New Roman" w:cs="Times New Roman"/>
          <w:b/>
          <w:sz w:val="26"/>
          <w:szCs w:val="26"/>
        </w:rPr>
      </w:pPr>
    </w:p>
    <w:p w14:paraId="04E970DE" w14:textId="35F5ACA7" w:rsidR="00125048" w:rsidRDefault="006A2A7A">
      <w:pPr>
        <w:spacing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r>
        <w:rPr>
          <w:rFonts w:ascii="Times New Roman" w:eastAsia="Times New Roman" w:hAnsi="Times New Roman" w:cs="Times New Roman"/>
          <w:sz w:val="26"/>
          <w:szCs w:val="26"/>
        </w:rPr>
        <w:tab/>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’s detention without a bond hearing violates the Fifth Amendment’s guarantee that “[n]o person shall be…deprived of life, liberty, or property, without due process of law.”</w:t>
      </w:r>
      <w:r>
        <w:rPr>
          <w:rFonts w:ascii="Times New Roman" w:eastAsia="Times New Roman" w:hAnsi="Times New Roman" w:cs="Times New Roman"/>
          <w:sz w:val="26"/>
          <w:szCs w:val="26"/>
          <w:vertAlign w:val="superscript"/>
        </w:rPr>
        <w:footnoteReference w:id="1"/>
      </w:r>
    </w:p>
    <w:p w14:paraId="0A9BA9ED" w14:textId="2D0834E3" w:rsidR="00125048" w:rsidRDefault="006A2A7A">
      <w:pPr>
        <w:spacing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r>
        <w:rPr>
          <w:rFonts w:ascii="Times New Roman" w:eastAsia="Times New Roman" w:hAnsi="Times New Roman" w:cs="Times New Roman"/>
          <w:sz w:val="26"/>
          <w:szCs w:val="26"/>
        </w:rPr>
        <w:tab/>
        <w:t xml:space="preserve">It is “well-established” that the Fifth Amendment’s Due Process Clause protects the rights of noncitizens like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to due process of law during removal proceedings.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538 U.S. at 523 (internal citations omitted). “Freedom from imprisonment—from government custody, detention, or other forms of physical restraint—lies at the heart of the liberty that [the Due Process] Clause protects.” </w:t>
      </w:r>
      <w:r>
        <w:rPr>
          <w:rFonts w:ascii="Times New Roman" w:eastAsia="Times New Roman" w:hAnsi="Times New Roman" w:cs="Times New Roman"/>
          <w:i/>
          <w:sz w:val="26"/>
          <w:szCs w:val="26"/>
        </w:rPr>
        <w:t>Zadvydas v. Davis</w:t>
      </w:r>
      <w:r>
        <w:rPr>
          <w:rFonts w:ascii="Times New Roman" w:eastAsia="Times New Roman" w:hAnsi="Times New Roman" w:cs="Times New Roman"/>
          <w:sz w:val="26"/>
          <w:szCs w:val="26"/>
        </w:rPr>
        <w:t xml:space="preserve">, 533 U.S. 678, 690 (2001) (citing </w:t>
      </w:r>
      <w:r>
        <w:rPr>
          <w:rFonts w:ascii="Times New Roman" w:eastAsia="Times New Roman" w:hAnsi="Times New Roman" w:cs="Times New Roman"/>
          <w:i/>
          <w:sz w:val="26"/>
          <w:szCs w:val="26"/>
        </w:rPr>
        <w:t>Foucha v. Louisiana</w:t>
      </w:r>
      <w:r>
        <w:rPr>
          <w:rFonts w:ascii="Times New Roman" w:eastAsia="Times New Roman" w:hAnsi="Times New Roman" w:cs="Times New Roman"/>
          <w:sz w:val="26"/>
          <w:szCs w:val="26"/>
        </w:rPr>
        <w:t xml:space="preserve">, 504 U.S. 71, 80 (1992)). Due Process requires that detention “bear[] a reasonable relation to the purpose for which the individual [was] committed.” </w:t>
      </w:r>
      <w:r>
        <w:rPr>
          <w:rFonts w:ascii="Times New Roman" w:eastAsia="Times New Roman" w:hAnsi="Times New Roman" w:cs="Times New Roman"/>
          <w:i/>
          <w:sz w:val="26"/>
          <w:szCs w:val="26"/>
        </w:rPr>
        <w:t>Zadvydas</w:t>
      </w:r>
      <w:r>
        <w:rPr>
          <w:rFonts w:ascii="Times New Roman" w:eastAsia="Times New Roman" w:hAnsi="Times New Roman" w:cs="Times New Roman"/>
          <w:sz w:val="26"/>
          <w:szCs w:val="26"/>
        </w:rPr>
        <w:t xml:space="preserve">, 533 U.S. at 690 (citing </w:t>
      </w:r>
      <w:r>
        <w:rPr>
          <w:rFonts w:ascii="Times New Roman" w:eastAsia="Times New Roman" w:hAnsi="Times New Roman" w:cs="Times New Roman"/>
          <w:i/>
          <w:sz w:val="26"/>
          <w:szCs w:val="26"/>
        </w:rPr>
        <w:lastRenderedPageBreak/>
        <w:t>Jackson v. Indiana</w:t>
      </w:r>
      <w:r>
        <w:rPr>
          <w:rFonts w:ascii="Times New Roman" w:eastAsia="Times New Roman" w:hAnsi="Times New Roman" w:cs="Times New Roman"/>
          <w:sz w:val="26"/>
          <w:szCs w:val="26"/>
        </w:rPr>
        <w:t xml:space="preserve">, 406 U.S. 715, 738 (1972)). The only legitimate justifications for civil detention in an immigration case like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are mitigating danger to the community or ensuring the noncitizen’s presence for a removal hearing.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538 U.S. at 528.</w:t>
      </w:r>
    </w:p>
    <w:p w14:paraId="10D2A232" w14:textId="64667830" w:rsidR="00125048" w:rsidRDefault="006A2A7A">
      <w:pPr>
        <w:spacing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r>
        <w:rPr>
          <w:rFonts w:ascii="Times New Roman" w:eastAsia="Times New Roman" w:hAnsi="Times New Roman" w:cs="Times New Roman"/>
          <w:sz w:val="26"/>
          <w:szCs w:val="26"/>
        </w:rPr>
        <w:tab/>
        <w:t xml:space="preserve">At this point, ICE has detained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for an unreasonably prolonged period of more than eleven months without any bond hearing. This is a severe deprivation of liberty, and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no procedural protections available outside this Court. Moreover, it is highly unlikely that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immigration proceedings will result in his removal given his meritorious appeal to the IJ’s denial of CAT relief. It is therefore manifestly unreasonable to impose an irrefutable presumption of flight risk and danger that will keep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detained for months, for a year, or for even longer, while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immigration proceedings are resolved. </w:t>
      </w:r>
    </w:p>
    <w:p w14:paraId="7BA51B5F" w14:textId="6EA045DE" w:rsidR="00125048" w:rsidRDefault="00C54975">
      <w:pPr>
        <w:spacing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Mr. Petitioner</w:t>
      </w:r>
      <w:r w:rsidR="006A2A7A">
        <w:rPr>
          <w:rFonts w:ascii="Times New Roman" w:eastAsia="Times New Roman" w:hAnsi="Times New Roman" w:cs="Times New Roman"/>
          <w:b/>
          <w:sz w:val="26"/>
          <w:szCs w:val="26"/>
        </w:rPr>
        <w:t>’s Prolonged Detention Without Bond Is Unconstitutional</w:t>
      </w:r>
    </w:p>
    <w:p w14:paraId="08180918" w14:textId="77777777" w:rsidR="00125048" w:rsidRDefault="006A2A7A">
      <w:pPr>
        <w:spacing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Pr>
          <w:rFonts w:ascii="Times New Roman" w:eastAsia="Times New Roman" w:hAnsi="Times New Roman" w:cs="Times New Roman"/>
          <w:sz w:val="26"/>
          <w:szCs w:val="26"/>
        </w:rPr>
        <w:tab/>
        <w:t xml:space="preserve">Nearly a year of mandatory civil detention is extreme. As detention grows in length, the justification for the increasingly severe deprivation of individual liberty must also grow stronger. </w:t>
      </w:r>
      <w:r>
        <w:rPr>
          <w:rFonts w:ascii="Times New Roman" w:eastAsia="Times New Roman" w:hAnsi="Times New Roman" w:cs="Times New Roman"/>
          <w:i/>
          <w:sz w:val="26"/>
          <w:szCs w:val="26"/>
        </w:rPr>
        <w:t>See Kansas v. Hendricks</w:t>
      </w:r>
      <w:r>
        <w:rPr>
          <w:rFonts w:ascii="Times New Roman" w:eastAsia="Times New Roman" w:hAnsi="Times New Roman" w:cs="Times New Roman"/>
          <w:sz w:val="26"/>
          <w:szCs w:val="26"/>
        </w:rPr>
        <w:t xml:space="preserve">, 521 U.S. 346, 363–64 (1997); </w:t>
      </w:r>
      <w:r>
        <w:rPr>
          <w:rFonts w:ascii="Times New Roman" w:eastAsia="Times New Roman" w:hAnsi="Times New Roman" w:cs="Times New Roman"/>
          <w:i/>
          <w:sz w:val="26"/>
          <w:szCs w:val="26"/>
        </w:rPr>
        <w:t>Chavez-Alvarez v. Warden York Cnty. Prison</w:t>
      </w:r>
      <w:r>
        <w:rPr>
          <w:rFonts w:ascii="Times New Roman" w:eastAsia="Times New Roman" w:hAnsi="Times New Roman" w:cs="Times New Roman"/>
          <w:sz w:val="26"/>
          <w:szCs w:val="26"/>
        </w:rPr>
        <w:t xml:space="preserve">, 783 F.3d 469, 474 (3d Cir. 2015), </w:t>
      </w:r>
      <w:r>
        <w:rPr>
          <w:rFonts w:ascii="Times New Roman" w:eastAsia="Times New Roman" w:hAnsi="Times New Roman" w:cs="Times New Roman"/>
          <w:i/>
          <w:sz w:val="26"/>
          <w:szCs w:val="26"/>
        </w:rPr>
        <w:t>abrogated in part and on other grounds by</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Jennings</w:t>
      </w:r>
      <w:r>
        <w:rPr>
          <w:rFonts w:ascii="Times New Roman" w:eastAsia="Times New Roman" w:hAnsi="Times New Roman" w:cs="Times New Roman"/>
          <w:sz w:val="26"/>
          <w:szCs w:val="26"/>
        </w:rPr>
        <w:t>, 138 S.</w:t>
      </w:r>
      <w:r w:rsidR="00A8483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Ct. at 847 (citing </w:t>
      </w:r>
      <w:r>
        <w:rPr>
          <w:rFonts w:ascii="Times New Roman" w:eastAsia="Times New Roman" w:hAnsi="Times New Roman" w:cs="Times New Roman"/>
          <w:i/>
          <w:sz w:val="26"/>
          <w:szCs w:val="26"/>
        </w:rPr>
        <w:t>Diop v. ICE/Homeland Sec.</w:t>
      </w:r>
      <w:r>
        <w:rPr>
          <w:rFonts w:ascii="Times New Roman" w:eastAsia="Times New Roman" w:hAnsi="Times New Roman" w:cs="Times New Roman"/>
          <w:sz w:val="26"/>
          <w:szCs w:val="26"/>
        </w:rPr>
        <w:t xml:space="preserve">, 656 F.3d 221, 232, 234 (3d Cir. 2011)). Moreover, as Justice Kennedy acknowledged in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the ultimate purpose of immigration detention here—to effect removal upon a final order—is “premised upon the alien’s deportability.” 538 U.S. at 531 (Kennedy, J., concurring). </w:t>
      </w:r>
    </w:p>
    <w:p w14:paraId="1D21A1AE" w14:textId="77777777" w:rsidR="00125048" w:rsidRDefault="006A2A7A">
      <w:pPr>
        <w:spacing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32.</w:t>
      </w:r>
      <w:r>
        <w:rPr>
          <w:rFonts w:ascii="Times New Roman" w:eastAsia="Times New Roman" w:hAnsi="Times New Roman" w:cs="Times New Roman"/>
          <w:sz w:val="26"/>
          <w:szCs w:val="26"/>
        </w:rPr>
        <w:tab/>
        <w:t xml:space="preserve">The Supreme Court “repeatedly has recognized that civil commitment for any purpose constitutes a significant deprivation of liberty that requires due process protection.” </w:t>
      </w:r>
      <w:r>
        <w:rPr>
          <w:rFonts w:ascii="Times New Roman" w:eastAsia="Times New Roman" w:hAnsi="Times New Roman" w:cs="Times New Roman"/>
          <w:i/>
          <w:sz w:val="26"/>
          <w:szCs w:val="26"/>
        </w:rPr>
        <w:t xml:space="preserve"> Addington v. Texas</w:t>
      </w:r>
      <w:r>
        <w:rPr>
          <w:rFonts w:ascii="Times New Roman" w:eastAsia="Times New Roman" w:hAnsi="Times New Roman" w:cs="Times New Roman"/>
          <w:sz w:val="26"/>
          <w:szCs w:val="26"/>
        </w:rPr>
        <w:t xml:space="preserve">, 441 U.S. 418, 425 (1979); </w:t>
      </w:r>
      <w:r>
        <w:rPr>
          <w:rFonts w:ascii="Times New Roman" w:eastAsia="Times New Roman" w:hAnsi="Times New Roman" w:cs="Times New Roman"/>
          <w:i/>
          <w:sz w:val="26"/>
          <w:szCs w:val="26"/>
        </w:rPr>
        <w:t>United States v. Salerno</w:t>
      </w:r>
      <w:r>
        <w:rPr>
          <w:rFonts w:ascii="Times New Roman" w:eastAsia="Times New Roman" w:hAnsi="Times New Roman" w:cs="Times New Roman"/>
          <w:sz w:val="26"/>
          <w:szCs w:val="26"/>
        </w:rPr>
        <w:t xml:space="preserve">, 481 U.S. 739 (1987); </w:t>
      </w:r>
      <w:r>
        <w:rPr>
          <w:rFonts w:ascii="Times New Roman" w:eastAsia="Times New Roman" w:hAnsi="Times New Roman" w:cs="Times New Roman"/>
          <w:i/>
          <w:sz w:val="26"/>
          <w:szCs w:val="26"/>
        </w:rPr>
        <w:t>Foucha v. Louisiana</w:t>
      </w:r>
      <w:r>
        <w:rPr>
          <w:rFonts w:ascii="Times New Roman" w:eastAsia="Times New Roman" w:hAnsi="Times New Roman" w:cs="Times New Roman"/>
          <w:sz w:val="26"/>
          <w:szCs w:val="26"/>
        </w:rPr>
        <w:t xml:space="preserve">, 504 U.S. 71, 80–83 (1992). Due process therefore will require “adequate procedural protections” to ensure that the government’s asserted justification for physical confinement “outweighs the individual’s constitutionally protected interest in avoiding physical restraint.” </w:t>
      </w:r>
      <w:r>
        <w:rPr>
          <w:rFonts w:ascii="Times New Roman" w:eastAsia="Times New Roman" w:hAnsi="Times New Roman" w:cs="Times New Roman"/>
          <w:i/>
          <w:sz w:val="26"/>
          <w:szCs w:val="26"/>
        </w:rPr>
        <w:t xml:space="preserve">Id. </w:t>
      </w:r>
      <w:r>
        <w:rPr>
          <w:rFonts w:ascii="Times New Roman" w:eastAsia="Times New Roman" w:hAnsi="Times New Roman" w:cs="Times New Roman"/>
          <w:sz w:val="26"/>
          <w:szCs w:val="26"/>
        </w:rPr>
        <w:t xml:space="preserve">at 690 (internal quotation marks omitted). </w:t>
      </w:r>
    </w:p>
    <w:p w14:paraId="2E446063" w14:textId="0009DE55" w:rsidR="00125048" w:rsidRDefault="006A2A7A">
      <w:pPr>
        <w:spacing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33.</w:t>
      </w:r>
      <w:r>
        <w:rPr>
          <w:rFonts w:ascii="Times New Roman" w:eastAsia="Times New Roman" w:hAnsi="Times New Roman" w:cs="Times New Roman"/>
          <w:b/>
          <w:sz w:val="26"/>
          <w:szCs w:val="26"/>
        </w:rPr>
        <w:tab/>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mandatory detention for over eleven months is unreasonable. The Supreme Court held in </w:t>
      </w:r>
      <w:r>
        <w:rPr>
          <w:rFonts w:ascii="Times New Roman" w:eastAsia="Times New Roman" w:hAnsi="Times New Roman" w:cs="Times New Roman"/>
          <w:i/>
          <w:sz w:val="26"/>
          <w:szCs w:val="26"/>
        </w:rPr>
        <w:t xml:space="preserve">Demore </w:t>
      </w:r>
      <w:r>
        <w:rPr>
          <w:rFonts w:ascii="Times New Roman" w:eastAsia="Times New Roman" w:hAnsi="Times New Roman" w:cs="Times New Roman"/>
          <w:sz w:val="26"/>
          <w:szCs w:val="26"/>
        </w:rPr>
        <w:t xml:space="preserve">that </w:t>
      </w:r>
      <w:r>
        <w:rPr>
          <w:rFonts w:ascii="Times New Roman" w:eastAsia="Times New Roman" w:hAnsi="Times New Roman" w:cs="Times New Roman"/>
          <w:i/>
          <w:sz w:val="26"/>
          <w:szCs w:val="26"/>
        </w:rPr>
        <w:t>brief</w:t>
      </w:r>
      <w:r>
        <w:rPr>
          <w:rFonts w:ascii="Times New Roman" w:eastAsia="Times New Roman" w:hAnsi="Times New Roman" w:cs="Times New Roman"/>
          <w:sz w:val="26"/>
          <w:szCs w:val="26"/>
        </w:rPr>
        <w:t xml:space="preserve"> mandatory detention under § 1226(c) without a bond hearing did not violate due process, and this holding was specifically premised on the short period for which the noncitizen had been detained as well as—now discredited—evidence that, at the time, § 1226(c) detention was neither indefinite nor prolonged. 538 U.S. at 529–31 (relying on evidence provided by the Government that, at the time, removal proceedings were completed in an average time of forty-seven days and a median time of thirty days in 85% of cases and that the remaining 15% of cases, in which there was an appeal, were completed in an average of four months).</w:t>
      </w:r>
      <w:r>
        <w:rPr>
          <w:rFonts w:ascii="Times New Roman" w:eastAsia="Times New Roman" w:hAnsi="Times New Roman" w:cs="Times New Roman"/>
          <w:sz w:val="26"/>
          <w:szCs w:val="26"/>
          <w:vertAlign w:val="superscript"/>
        </w:rPr>
        <w:footnoteReference w:id="2"/>
      </w:r>
      <w:r>
        <w:rPr>
          <w:rFonts w:ascii="Times New Roman" w:eastAsia="Times New Roman" w:hAnsi="Times New Roman" w:cs="Times New Roman"/>
          <w:i/>
          <w:sz w:val="26"/>
          <w:szCs w:val="26"/>
        </w:rPr>
        <w:t xml:space="preserve"> </w:t>
      </w:r>
    </w:p>
    <w:p w14:paraId="10327715" w14:textId="77777777" w:rsidR="00125048" w:rsidRDefault="006A2A7A">
      <w:pPr>
        <w:spacing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34.</w:t>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As the crucial fifth vote in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Justice Kennedy acknowledged in his concurrence that “if continued detention bec[omes] unreasonable or unjustified,” a noncitizen could be “entitled to an individualized determination as to his risk of flight and dangerousness.” 538 U.S. at 532 (Kennedy, J., concurring); </w:t>
      </w:r>
      <w:r>
        <w:rPr>
          <w:rFonts w:ascii="Times New Roman" w:eastAsia="Times New Roman" w:hAnsi="Times New Roman" w:cs="Times New Roman"/>
          <w:i/>
          <w:sz w:val="26"/>
          <w:szCs w:val="26"/>
        </w:rPr>
        <w:t>see also id.</w:t>
      </w:r>
      <w:r>
        <w:rPr>
          <w:rFonts w:ascii="Times New Roman" w:eastAsia="Times New Roman" w:hAnsi="Times New Roman" w:cs="Times New Roman"/>
          <w:sz w:val="26"/>
          <w:szCs w:val="26"/>
        </w:rPr>
        <w:t xml:space="preserve"> at 532–33 (“Were there to be an unreasonable delay by the INS in pursuing and completing deportation proceedings, it could become necessary then to inquire whether the detention is not to facilitate deportation, or to protect against risk of flight or dangerousness, but to incarcerate for other reasons.”); Since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the “time that each immigrant spends in detention has risen substantially.” </w:t>
      </w:r>
      <w:r>
        <w:rPr>
          <w:rFonts w:ascii="Times New Roman" w:eastAsia="Times New Roman" w:hAnsi="Times New Roman" w:cs="Times New Roman"/>
          <w:i/>
          <w:sz w:val="26"/>
          <w:szCs w:val="26"/>
        </w:rPr>
        <w:t>Diop</w:t>
      </w:r>
      <w:r>
        <w:rPr>
          <w:rFonts w:ascii="Times New Roman" w:eastAsia="Times New Roman" w:hAnsi="Times New Roman" w:cs="Times New Roman"/>
          <w:sz w:val="26"/>
          <w:szCs w:val="26"/>
        </w:rPr>
        <w:t xml:space="preserve">, 656 F.3d at 234 (explaining that mandatory detention becomes more constitutionally “suspect” as it extends beyond the brief detention periods considered by the Supreme Court in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w:t>
      </w:r>
    </w:p>
    <w:p w14:paraId="7B0F0E2F" w14:textId="77777777" w:rsidR="00125048" w:rsidRDefault="006A2A7A">
      <w:pPr>
        <w:spacing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35.</w:t>
      </w:r>
      <w:r>
        <w:rPr>
          <w:rFonts w:ascii="Times New Roman" w:eastAsia="Times New Roman" w:hAnsi="Times New Roman" w:cs="Times New Roman"/>
          <w:sz w:val="26"/>
          <w:szCs w:val="26"/>
        </w:rPr>
        <w:tab/>
        <w:t xml:space="preserve">The Eighth Circuit has not yet ruled on the constitutionality of prolonged detention under § 1226(c). The Third Circuit in </w:t>
      </w:r>
      <w:r>
        <w:rPr>
          <w:rFonts w:ascii="Times New Roman" w:eastAsia="Times New Roman" w:hAnsi="Times New Roman" w:cs="Times New Roman"/>
          <w:i/>
          <w:sz w:val="26"/>
          <w:szCs w:val="26"/>
        </w:rPr>
        <w:t xml:space="preserve">Diop </w:t>
      </w:r>
      <w:r>
        <w:rPr>
          <w:rFonts w:ascii="Times New Roman" w:eastAsia="Times New Roman" w:hAnsi="Times New Roman" w:cs="Times New Roman"/>
          <w:sz w:val="26"/>
          <w:szCs w:val="26"/>
        </w:rPr>
        <w:t>held as a constitutional matter that due process prohibits mandatory detention for an unreasonable period of time.</w:t>
      </w:r>
      <w:r>
        <w:rPr>
          <w:rFonts w:ascii="Times New Roman" w:eastAsia="Times New Roman" w:hAnsi="Times New Roman" w:cs="Times New Roman"/>
          <w:i/>
          <w:sz w:val="26"/>
          <w:szCs w:val="26"/>
        </w:rPr>
        <w:t xml:space="preserve"> Diop</w:t>
      </w:r>
      <w:r>
        <w:rPr>
          <w:rFonts w:ascii="Times New Roman" w:eastAsia="Times New Roman" w:hAnsi="Times New Roman" w:cs="Times New Roman"/>
          <w:sz w:val="26"/>
          <w:szCs w:val="26"/>
        </w:rPr>
        <w:t xml:space="preserve">, 656 F.3d </w:t>
      </w:r>
      <w:r>
        <w:rPr>
          <w:rFonts w:ascii="Times New Roman" w:eastAsia="Times New Roman" w:hAnsi="Times New Roman" w:cs="Times New Roman"/>
          <w:sz w:val="26"/>
          <w:szCs w:val="26"/>
        </w:rPr>
        <w:lastRenderedPageBreak/>
        <w:t xml:space="preserve">at 232 (“The constitutionality of [detention without a bond hearing] is </w:t>
      </w:r>
      <w:r>
        <w:rPr>
          <w:rFonts w:ascii="Times New Roman" w:eastAsia="Times New Roman" w:hAnsi="Times New Roman" w:cs="Times New Roman"/>
          <w:i/>
          <w:sz w:val="26"/>
          <w:szCs w:val="26"/>
        </w:rPr>
        <w:t>a function of the length of the detention</w:t>
      </w:r>
      <w:r>
        <w:rPr>
          <w:rFonts w:ascii="Times New Roman" w:eastAsia="Times New Roman" w:hAnsi="Times New Roman" w:cs="Times New Roman"/>
          <w:sz w:val="26"/>
          <w:szCs w:val="26"/>
        </w:rPr>
        <w:t>. At a certain point, continued detention becomes unreasonable, and the Executive Branch’s implementation of § 1226(c) becomes</w:t>
      </w:r>
      <w:r>
        <w:rPr>
          <w:rFonts w:ascii="Times New Roman" w:eastAsia="Times New Roman" w:hAnsi="Times New Roman" w:cs="Times New Roman"/>
          <w:i/>
          <w:sz w:val="26"/>
          <w:szCs w:val="26"/>
        </w:rPr>
        <w:t xml:space="preserve"> unconstitutional</w:t>
      </w:r>
      <w:r>
        <w:rPr>
          <w:rFonts w:ascii="Times New Roman" w:eastAsia="Times New Roman" w:hAnsi="Times New Roman" w:cs="Times New Roman"/>
          <w:sz w:val="26"/>
          <w:szCs w:val="26"/>
        </w:rPr>
        <w:t xml:space="preserve"> unless the Government has justified its actions at a hearing inquiring into whether continued detention is consistent with the law’s purposes of preventing flight and dangers to the community.”) (emphasis added).</w:t>
      </w:r>
    </w:p>
    <w:p w14:paraId="0BA00BB3" w14:textId="77777777" w:rsidR="00125048" w:rsidRDefault="006A2A7A">
      <w:pPr>
        <w:spacing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r>
        <w:rPr>
          <w:rFonts w:ascii="Times New Roman" w:eastAsia="Times New Roman" w:hAnsi="Times New Roman" w:cs="Times New Roman"/>
          <w:sz w:val="26"/>
          <w:szCs w:val="26"/>
        </w:rPr>
        <w:tab/>
        <w:t xml:space="preserve">Moreover, prior to the Supreme Court’s ruling in </w:t>
      </w:r>
      <w:r>
        <w:rPr>
          <w:rFonts w:ascii="Times New Roman" w:eastAsia="Times New Roman" w:hAnsi="Times New Roman" w:cs="Times New Roman"/>
          <w:i/>
          <w:sz w:val="26"/>
          <w:szCs w:val="26"/>
        </w:rPr>
        <w:t>Jennings</w:t>
      </w:r>
      <w:r>
        <w:rPr>
          <w:rFonts w:ascii="Times New Roman" w:eastAsia="Times New Roman" w:hAnsi="Times New Roman" w:cs="Times New Roman"/>
          <w:sz w:val="26"/>
          <w:szCs w:val="26"/>
        </w:rPr>
        <w:t xml:space="preserve">, a number of circuit courts applying the canon of constitutional avoidance had held that serious Fifth Amendment due process concerns required the statutory text of 1226(c) to be interpreted as including an implicit reasonableness limitation on the duration of detention during removal proceedings. </w:t>
      </w:r>
      <w:r>
        <w:rPr>
          <w:rFonts w:ascii="Times New Roman" w:eastAsia="Times New Roman" w:hAnsi="Times New Roman" w:cs="Times New Roman"/>
          <w:i/>
          <w:sz w:val="26"/>
          <w:szCs w:val="26"/>
        </w:rPr>
        <w:t>See, e.g.</w:t>
      </w: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 Reid v. Donelan, </w:t>
      </w:r>
      <w:r>
        <w:rPr>
          <w:rFonts w:ascii="Times New Roman" w:eastAsia="Times New Roman" w:hAnsi="Times New Roman" w:cs="Times New Roman"/>
          <w:sz w:val="26"/>
          <w:szCs w:val="26"/>
        </w:rPr>
        <w:t xml:space="preserve">819 F.3d 486 (1st Cir. 2016). </w:t>
      </w:r>
      <w:r>
        <w:rPr>
          <w:rFonts w:ascii="Times New Roman" w:eastAsia="Times New Roman" w:hAnsi="Times New Roman" w:cs="Times New Roman"/>
          <w:i/>
          <w:sz w:val="26"/>
          <w:szCs w:val="26"/>
        </w:rPr>
        <w:t>Jennings</w:t>
      </w:r>
      <w:r>
        <w:rPr>
          <w:rFonts w:ascii="Times New Roman" w:eastAsia="Times New Roman" w:hAnsi="Times New Roman" w:cs="Times New Roman"/>
          <w:sz w:val="26"/>
          <w:szCs w:val="26"/>
        </w:rPr>
        <w:t xml:space="preserve"> abrogated the statutory holdings of such cases because the Supreme Court determined, as a predicate matter, that the text of § 1226(c) was not properly subject to competing interpretations that would permit application of the canon of constitutional avoidance. 138 S.</w:t>
      </w:r>
      <w:r w:rsidR="00A8483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Ct. 830, 842 (2018). However, while no longer good law for this distinct reason following </w:t>
      </w:r>
      <w:r>
        <w:rPr>
          <w:rFonts w:ascii="Times New Roman" w:eastAsia="Times New Roman" w:hAnsi="Times New Roman" w:cs="Times New Roman"/>
          <w:i/>
          <w:sz w:val="26"/>
          <w:szCs w:val="26"/>
        </w:rPr>
        <w:t>Jennings</w:t>
      </w:r>
      <w:r>
        <w:rPr>
          <w:rFonts w:ascii="Times New Roman" w:eastAsia="Times New Roman" w:hAnsi="Times New Roman" w:cs="Times New Roman"/>
          <w:sz w:val="26"/>
          <w:szCs w:val="26"/>
        </w:rPr>
        <w:t xml:space="preserve">, the separate substantive analysis of due process these decisions provided remains persuasive. </w:t>
      </w:r>
    </w:p>
    <w:p w14:paraId="15ED97CA" w14:textId="26302C64" w:rsidR="00125048" w:rsidRDefault="006A2A7A">
      <w:pPr>
        <w:spacing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37.</w:t>
      </w:r>
      <w:r>
        <w:rPr>
          <w:rFonts w:ascii="Times New Roman" w:eastAsia="Times New Roman" w:hAnsi="Times New Roman" w:cs="Times New Roman"/>
          <w:sz w:val="26"/>
          <w:szCs w:val="26"/>
        </w:rPr>
        <w:tab/>
        <w:t xml:space="preserve">Prior to </w:t>
      </w:r>
      <w:r>
        <w:rPr>
          <w:rFonts w:ascii="Times New Roman" w:eastAsia="Times New Roman" w:hAnsi="Times New Roman" w:cs="Times New Roman"/>
          <w:i/>
          <w:sz w:val="26"/>
          <w:szCs w:val="26"/>
        </w:rPr>
        <w:t>Jennings</w:t>
      </w:r>
      <w:r>
        <w:rPr>
          <w:rFonts w:ascii="Times New Roman" w:eastAsia="Times New Roman" w:hAnsi="Times New Roman" w:cs="Times New Roman"/>
          <w:sz w:val="26"/>
          <w:szCs w:val="26"/>
        </w:rPr>
        <w:t xml:space="preserve">, a number of decisions of this Court—on purely constitutional grounds—had already held that due process places limits on mandatory § 1226(c) detention. </w:t>
      </w:r>
      <w:r>
        <w:rPr>
          <w:rFonts w:ascii="Times New Roman" w:eastAsia="Times New Roman" w:hAnsi="Times New Roman" w:cs="Times New Roman"/>
          <w:i/>
          <w:sz w:val="26"/>
          <w:szCs w:val="26"/>
        </w:rPr>
        <w:t>See e.g.</w:t>
      </w: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 Moallin</w:t>
      </w:r>
      <w:r>
        <w:rPr>
          <w:rFonts w:ascii="Times New Roman" w:eastAsia="Times New Roman" w:hAnsi="Times New Roman" w:cs="Times New Roman"/>
          <w:sz w:val="26"/>
          <w:szCs w:val="26"/>
        </w:rPr>
        <w:t xml:space="preserve">, 427 F. Supp. 2d at 926 (D. Minn. 2006) (Nelson, J.) (applying principles of </w:t>
      </w:r>
      <w:r>
        <w:rPr>
          <w:rFonts w:ascii="Times New Roman" w:eastAsia="Times New Roman" w:hAnsi="Times New Roman" w:cs="Times New Roman"/>
          <w:i/>
          <w:sz w:val="26"/>
          <w:szCs w:val="26"/>
        </w:rPr>
        <w:t xml:space="preserve">Zadvydas </w:t>
      </w:r>
      <w:r>
        <w:rPr>
          <w:rFonts w:ascii="Times New Roman" w:eastAsia="Times New Roman" w:hAnsi="Times New Roman" w:cs="Times New Roman"/>
          <w:sz w:val="26"/>
          <w:szCs w:val="26"/>
        </w:rPr>
        <w:t xml:space="preserve">to § 1226(c) detention); </w:t>
      </w:r>
      <w:r>
        <w:rPr>
          <w:rFonts w:ascii="Times New Roman" w:eastAsia="Times New Roman" w:hAnsi="Times New Roman" w:cs="Times New Roman"/>
          <w:i/>
          <w:sz w:val="26"/>
          <w:szCs w:val="26"/>
        </w:rPr>
        <w:t>Bah v. Cangemi</w:t>
      </w:r>
      <w:r>
        <w:rPr>
          <w:rFonts w:ascii="Times New Roman" w:eastAsia="Times New Roman" w:hAnsi="Times New Roman" w:cs="Times New Roman"/>
          <w:sz w:val="26"/>
          <w:szCs w:val="26"/>
        </w:rPr>
        <w:t xml:space="preserve">, 489 F. Supp. 2d 905, 920 (D. Minn. 2007) (Schiltz, J.) (“This Court believes that allowing unlimited </w:t>
      </w:r>
      <w:r>
        <w:rPr>
          <w:rFonts w:ascii="Times New Roman" w:eastAsia="Times New Roman" w:hAnsi="Times New Roman" w:cs="Times New Roman"/>
          <w:sz w:val="26"/>
          <w:szCs w:val="26"/>
        </w:rPr>
        <w:lastRenderedPageBreak/>
        <w:t xml:space="preserve">pre-removal-period detention under § 1226 would be inconsistent with the reasoning underlying </w:t>
      </w:r>
      <w:r>
        <w:rPr>
          <w:rFonts w:ascii="Times New Roman" w:eastAsia="Times New Roman" w:hAnsi="Times New Roman" w:cs="Times New Roman"/>
          <w:i/>
          <w:sz w:val="26"/>
          <w:szCs w:val="26"/>
        </w:rPr>
        <w:t>Zadvydas</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Nhean v. Brott</w:t>
      </w:r>
      <w:r>
        <w:rPr>
          <w:rFonts w:ascii="Times New Roman" w:eastAsia="Times New Roman" w:hAnsi="Times New Roman" w:cs="Times New Roman"/>
          <w:sz w:val="26"/>
          <w:szCs w:val="26"/>
        </w:rPr>
        <w:t xml:space="preserve">, No. 17-cv-28 (PAM/FLN), 2017 WL 5054390 (D. Minn. Aug. 7, 2017) (finding that the alien may not be detained indefinitely after having received a waiver of inadmissibility and adjustment of status); </w:t>
      </w:r>
      <w:r>
        <w:rPr>
          <w:rFonts w:ascii="Times New Roman" w:eastAsia="Times New Roman" w:hAnsi="Times New Roman" w:cs="Times New Roman"/>
          <w:i/>
          <w:sz w:val="26"/>
          <w:szCs w:val="26"/>
        </w:rPr>
        <w:t>Phan v. Brott</w:t>
      </w:r>
      <w:r>
        <w:rPr>
          <w:rFonts w:ascii="Times New Roman" w:eastAsia="Times New Roman" w:hAnsi="Times New Roman" w:cs="Times New Roman"/>
          <w:sz w:val="26"/>
          <w:szCs w:val="26"/>
        </w:rPr>
        <w:t xml:space="preserve">, No. 17-cv-432 (DWF/HB), 2017 WL 4460752 (D. Minn. Oct. 5, 2017) (granting petition for habeas corpus for petitioner detained pursuant to § 1226(c)); </w:t>
      </w:r>
      <w:r>
        <w:rPr>
          <w:rFonts w:ascii="Times New Roman" w:eastAsia="Times New Roman" w:hAnsi="Times New Roman" w:cs="Times New Roman"/>
          <w:i/>
          <w:sz w:val="26"/>
          <w:szCs w:val="26"/>
        </w:rPr>
        <w:t>Tindi v. Sec’y, Dep’t of Homeland Sec.</w:t>
      </w:r>
      <w:r>
        <w:rPr>
          <w:rFonts w:ascii="Times New Roman" w:eastAsia="Times New Roman" w:hAnsi="Times New Roman" w:cs="Times New Roman"/>
          <w:sz w:val="26"/>
          <w:szCs w:val="26"/>
        </w:rPr>
        <w:t xml:space="preserve">, 17-cv-3663 (DSD/DTS), 2018 WL 704314 (D. Minn. Feb. 5, 2018) (finding 14 months of § 1226(c) detention to be constitutionally unreasonable, where petitioner appealed to the circuit court and the circuit court stayed removal pending the outcome of </w:t>
      </w:r>
      <w:r>
        <w:rPr>
          <w:rFonts w:ascii="Times New Roman" w:eastAsia="Times New Roman" w:hAnsi="Times New Roman" w:cs="Times New Roman"/>
          <w:i/>
          <w:sz w:val="26"/>
          <w:szCs w:val="26"/>
        </w:rPr>
        <w:t>Dimaya</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Mohamed v. Sec’y, Dep’t of Homeland Sec.</w:t>
      </w:r>
      <w:r>
        <w:rPr>
          <w:rFonts w:ascii="Times New Roman" w:eastAsia="Times New Roman" w:hAnsi="Times New Roman" w:cs="Times New Roman"/>
          <w:sz w:val="26"/>
          <w:szCs w:val="26"/>
        </w:rPr>
        <w:t xml:space="preserve">, No. 17-cv-5055 (DWF/DTS), 2018 WL 2390132 (D. Minn. May 25, 2018), </w:t>
      </w:r>
      <w:r>
        <w:rPr>
          <w:rFonts w:ascii="Times New Roman" w:eastAsia="Times New Roman" w:hAnsi="Times New Roman" w:cs="Times New Roman"/>
          <w:i/>
          <w:sz w:val="26"/>
          <w:szCs w:val="26"/>
        </w:rPr>
        <w:t>report and recommendation adopted</w:t>
      </w:r>
      <w:r>
        <w:rPr>
          <w:rFonts w:ascii="Times New Roman" w:eastAsia="Times New Roman" w:hAnsi="Times New Roman" w:cs="Times New Roman"/>
          <w:sz w:val="26"/>
          <w:szCs w:val="26"/>
        </w:rPr>
        <w:t xml:space="preserve">, 2018 WL 2392205 (D. Minn. Mar. 23, 2017) (indefinite detention impermissible and requires the Court to adopt a “fact-based individualized standard to determine the constitutionality of an alien’s continued pre-removal detention”). </w:t>
      </w:r>
      <w:r>
        <w:rPr>
          <w:rFonts w:ascii="Times New Roman" w:eastAsia="Times New Roman" w:hAnsi="Times New Roman" w:cs="Times New Roman"/>
          <w:i/>
          <w:sz w:val="26"/>
          <w:szCs w:val="26"/>
        </w:rPr>
        <w:t>Cf. Davies v. Tritten</w:t>
      </w:r>
      <w:r>
        <w:rPr>
          <w:rFonts w:ascii="Times New Roman" w:eastAsia="Times New Roman" w:hAnsi="Times New Roman" w:cs="Times New Roman"/>
          <w:sz w:val="26"/>
          <w:szCs w:val="26"/>
        </w:rPr>
        <w:t>, 17-cv-3710 (SRN/SER)</w:t>
      </w:r>
      <w:r w:rsidR="003A2AA8">
        <w:rPr>
          <w:rFonts w:ascii="Times New Roman" w:eastAsia="Times New Roman" w:hAnsi="Times New Roman" w:cs="Times New Roman"/>
          <w:sz w:val="26"/>
          <w:szCs w:val="26"/>
        </w:rPr>
        <w:t xml:space="preserve">, </w:t>
      </w:r>
      <w:r w:rsidR="003A2AA8" w:rsidRPr="003A2AA8">
        <w:rPr>
          <w:rFonts w:ascii="Times New Roman" w:eastAsia="Times New Roman" w:hAnsi="Times New Roman" w:cs="Times New Roman"/>
          <w:sz w:val="26"/>
          <w:szCs w:val="26"/>
        </w:rPr>
        <w:t xml:space="preserve">2017 WL 4277145, at *3-4 </w:t>
      </w:r>
      <w:r>
        <w:rPr>
          <w:rFonts w:ascii="Times New Roman" w:eastAsia="Times New Roman" w:hAnsi="Times New Roman" w:cs="Times New Roman"/>
          <w:sz w:val="26"/>
          <w:szCs w:val="26"/>
        </w:rPr>
        <w:t xml:space="preserve"> (D. Minn. Sept. 25, 2017) (stating that “[a]ll circuit courts of appeal who have addressed the question have read </w:t>
      </w:r>
      <w:r>
        <w:rPr>
          <w:rFonts w:ascii="Times New Roman" w:eastAsia="Times New Roman" w:hAnsi="Times New Roman" w:cs="Times New Roman"/>
          <w:i/>
          <w:sz w:val="26"/>
          <w:szCs w:val="26"/>
        </w:rPr>
        <w:t xml:space="preserve">Demore </w:t>
      </w:r>
      <w:r>
        <w:rPr>
          <w:rFonts w:ascii="Times New Roman" w:eastAsia="Times New Roman" w:hAnsi="Times New Roman" w:cs="Times New Roman"/>
          <w:sz w:val="26"/>
          <w:szCs w:val="26"/>
        </w:rPr>
        <w:t xml:space="preserve">and </w:t>
      </w:r>
      <w:r>
        <w:rPr>
          <w:rFonts w:ascii="Times New Roman" w:eastAsia="Times New Roman" w:hAnsi="Times New Roman" w:cs="Times New Roman"/>
          <w:i/>
          <w:sz w:val="26"/>
          <w:szCs w:val="26"/>
        </w:rPr>
        <w:t xml:space="preserve">Zadvydas </w:t>
      </w:r>
      <w:r>
        <w:rPr>
          <w:rFonts w:ascii="Times New Roman" w:eastAsia="Times New Roman" w:hAnsi="Times New Roman" w:cs="Times New Roman"/>
          <w:sz w:val="26"/>
          <w:szCs w:val="26"/>
        </w:rPr>
        <w:t>to impose a reasonableness requirement on detention before a final removal order,” but denying petition because detention was extended to eight months by an “unusual mistake,” a missing transcript).</w:t>
      </w:r>
    </w:p>
    <w:p w14:paraId="56E4D7FB" w14:textId="2C5595F7" w:rsidR="00125048" w:rsidRDefault="006A2A7A">
      <w:pPr>
        <w:spacing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38.</w:t>
      </w:r>
      <w:r>
        <w:rPr>
          <w:rFonts w:ascii="Times New Roman" w:eastAsia="Times New Roman" w:hAnsi="Times New Roman" w:cs="Times New Roman"/>
          <w:sz w:val="26"/>
          <w:szCs w:val="26"/>
        </w:rPr>
        <w:tab/>
        <w:t xml:space="preserve">When assessing as-applied challenges to prolonged § 1226(c) detention similar to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’s petition here, this Court has used a “fact-based individualized standard to determine the constitutionality of an alien’s continued pre-removal detention.”</w:t>
      </w:r>
      <w:r>
        <w:rPr>
          <w:rFonts w:ascii="Times New Roman" w:eastAsia="Times New Roman" w:hAnsi="Times New Roman" w:cs="Times New Roman"/>
          <w:i/>
          <w:sz w:val="26"/>
          <w:szCs w:val="26"/>
        </w:rPr>
        <w:t xml:space="preserve"> Mohamed</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lastRenderedPageBreak/>
        <w:t xml:space="preserve">2018 WL 2392205, at *12 (citing </w:t>
      </w:r>
      <w:r>
        <w:rPr>
          <w:rFonts w:ascii="Times New Roman" w:eastAsia="Times New Roman" w:hAnsi="Times New Roman" w:cs="Times New Roman"/>
          <w:i/>
          <w:sz w:val="26"/>
          <w:szCs w:val="26"/>
        </w:rPr>
        <w:t>Tindi</w:t>
      </w: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2018 WL 704314 (D. Minn. 2018)). Relevant factors this Court’s decisions have looked to include “(1) the total length of detention to date; (2) the likely duration of future detention; (3) the conditions of detention; (4) delays of the removal proceedings caused by the detainee; (5) delays of removal proceedings caused by the government; and (6) the likelihood that the removal proceedings will result in a final order of removal.” </w:t>
      </w:r>
      <w:r>
        <w:rPr>
          <w:rFonts w:ascii="Times New Roman" w:eastAsia="Times New Roman" w:hAnsi="Times New Roman" w:cs="Times New Roman"/>
          <w:i/>
          <w:sz w:val="26"/>
          <w:szCs w:val="26"/>
        </w:rPr>
        <w:t>Muse v. Sessions</w:t>
      </w:r>
      <w:r>
        <w:rPr>
          <w:rFonts w:ascii="Times New Roman" w:eastAsia="Times New Roman" w:hAnsi="Times New Roman" w:cs="Times New Roman"/>
          <w:sz w:val="26"/>
          <w:szCs w:val="26"/>
        </w:rPr>
        <w:t xml:space="preserve">, F. Supp.3d 18-cv-54 (PJS/LIB), 2018 WL 4466052 (D. Minn. Sept. 9, 2018) (citing and applying factors articulated in </w:t>
      </w:r>
      <w:r>
        <w:rPr>
          <w:rFonts w:ascii="Times New Roman" w:eastAsia="Times New Roman" w:hAnsi="Times New Roman" w:cs="Times New Roman"/>
          <w:i/>
          <w:sz w:val="26"/>
          <w:szCs w:val="26"/>
        </w:rPr>
        <w:t>Reid</w:t>
      </w:r>
      <w:r>
        <w:rPr>
          <w:rFonts w:ascii="Times New Roman" w:eastAsia="Times New Roman" w:hAnsi="Times New Roman" w:cs="Times New Roman"/>
          <w:sz w:val="26"/>
          <w:szCs w:val="26"/>
        </w:rPr>
        <w:t>, 819 F.3d 486 (1st Cir. 2016)) (citation omitted).</w:t>
      </w:r>
    </w:p>
    <w:p w14:paraId="243E897C" w14:textId="0C6CCEB9" w:rsidR="00125048" w:rsidRDefault="006A2A7A">
      <w:pPr>
        <w:spacing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39.</w:t>
      </w:r>
      <w:r>
        <w:rPr>
          <w:rFonts w:ascii="Times New Roman" w:eastAsia="Times New Roman" w:hAnsi="Times New Roman" w:cs="Times New Roman"/>
          <w:sz w:val="26"/>
          <w:szCs w:val="26"/>
        </w:rPr>
        <w:tab/>
        <w:t xml:space="preserve">After </w:t>
      </w:r>
      <w:r>
        <w:rPr>
          <w:rFonts w:ascii="Times New Roman" w:eastAsia="Times New Roman" w:hAnsi="Times New Roman" w:cs="Times New Roman"/>
          <w:i/>
          <w:sz w:val="26"/>
          <w:szCs w:val="26"/>
        </w:rPr>
        <w:t>Jennings</w:t>
      </w:r>
      <w:r>
        <w:rPr>
          <w:rFonts w:ascii="Times New Roman" w:eastAsia="Times New Roman" w:hAnsi="Times New Roman" w:cs="Times New Roman"/>
          <w:sz w:val="26"/>
          <w:szCs w:val="26"/>
        </w:rPr>
        <w:t xml:space="preserve">, this Court has continued to use the </w:t>
      </w:r>
      <w:r>
        <w:rPr>
          <w:rFonts w:ascii="Times New Roman" w:eastAsia="Times New Roman" w:hAnsi="Times New Roman" w:cs="Times New Roman"/>
          <w:i/>
          <w:sz w:val="26"/>
          <w:szCs w:val="26"/>
        </w:rPr>
        <w:t xml:space="preserve">Muse </w:t>
      </w:r>
      <w:r>
        <w:rPr>
          <w:rFonts w:ascii="Times New Roman" w:eastAsia="Times New Roman" w:hAnsi="Times New Roman" w:cs="Times New Roman"/>
          <w:sz w:val="26"/>
          <w:szCs w:val="26"/>
        </w:rPr>
        <w:t xml:space="preserve">factors outlined in </w:t>
      </w:r>
      <w:r>
        <w:rPr>
          <w:rFonts w:ascii="Times New Roman" w:eastAsia="Times New Roman" w:hAnsi="Times New Roman" w:cs="Times New Roman"/>
          <w:i/>
          <w:sz w:val="26"/>
          <w:szCs w:val="26"/>
        </w:rPr>
        <w:t>Muse</w:t>
      </w:r>
      <w:r w:rsidR="00A84838">
        <w:rPr>
          <w:rFonts w:ascii="Times New Roman" w:eastAsia="Times New Roman" w:hAnsi="Times New Roman" w:cs="Times New Roman"/>
          <w:sz w:val="26"/>
          <w:szCs w:val="26"/>
        </w:rPr>
        <w:t>—</w:t>
      </w:r>
      <w:r>
        <w:rPr>
          <w:rFonts w:ascii="Times New Roman" w:eastAsia="Times New Roman" w:hAnsi="Times New Roman" w:cs="Times New Roman"/>
          <w:sz w:val="26"/>
          <w:szCs w:val="26"/>
        </w:rPr>
        <w:t>referred to here and in some decisions as the “</w:t>
      </w:r>
      <w:r>
        <w:rPr>
          <w:rFonts w:ascii="Times New Roman" w:eastAsia="Times New Roman" w:hAnsi="Times New Roman" w:cs="Times New Roman"/>
          <w:i/>
          <w:sz w:val="26"/>
          <w:szCs w:val="26"/>
        </w:rPr>
        <w:t xml:space="preserve">Muse </w:t>
      </w:r>
      <w:r>
        <w:rPr>
          <w:rFonts w:ascii="Times New Roman" w:eastAsia="Times New Roman" w:hAnsi="Times New Roman" w:cs="Times New Roman"/>
          <w:sz w:val="26"/>
          <w:szCs w:val="26"/>
        </w:rPr>
        <w:t xml:space="preserve">factors,” a modified version of the </w:t>
      </w:r>
      <w:r>
        <w:rPr>
          <w:rFonts w:ascii="Times New Roman" w:eastAsia="Times New Roman" w:hAnsi="Times New Roman" w:cs="Times New Roman"/>
          <w:i/>
          <w:sz w:val="26"/>
          <w:szCs w:val="26"/>
        </w:rPr>
        <w:t xml:space="preserve">Reid </w:t>
      </w:r>
      <w:r>
        <w:rPr>
          <w:rFonts w:ascii="Times New Roman" w:eastAsia="Times New Roman" w:hAnsi="Times New Roman" w:cs="Times New Roman"/>
          <w:sz w:val="26"/>
          <w:szCs w:val="26"/>
        </w:rPr>
        <w:t>factors</w:t>
      </w:r>
      <w:r w:rsidR="00A8483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when assessing as-applied due process challenges to § 1226(c). </w:t>
      </w:r>
      <w:r>
        <w:rPr>
          <w:rFonts w:ascii="Times New Roman" w:eastAsia="Times New Roman" w:hAnsi="Times New Roman" w:cs="Times New Roman"/>
          <w:i/>
          <w:sz w:val="26"/>
          <w:szCs w:val="26"/>
          <w:highlight w:val="white"/>
        </w:rPr>
        <w:t>Jamal A. v. Whitaker</w:t>
      </w:r>
      <w:r>
        <w:rPr>
          <w:rFonts w:ascii="Times New Roman" w:eastAsia="Times New Roman" w:hAnsi="Times New Roman" w:cs="Times New Roman"/>
          <w:sz w:val="26"/>
          <w:szCs w:val="26"/>
          <w:highlight w:val="white"/>
        </w:rPr>
        <w:t>, 358 F.</w:t>
      </w:r>
      <w:r w:rsidR="00A84838">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sz w:val="26"/>
          <w:szCs w:val="26"/>
          <w:highlight w:val="white"/>
        </w:rPr>
        <w:t>Supp.</w:t>
      </w:r>
      <w:r w:rsidR="00A84838">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sz w:val="26"/>
          <w:szCs w:val="26"/>
          <w:highlight w:val="white"/>
        </w:rPr>
        <w:t xml:space="preserve">3d 853 (D. Minn. 2019); </w:t>
      </w:r>
      <w:r>
        <w:rPr>
          <w:rFonts w:ascii="Times New Roman" w:eastAsia="Times New Roman" w:hAnsi="Times New Roman" w:cs="Times New Roman"/>
          <w:i/>
          <w:sz w:val="26"/>
          <w:szCs w:val="26"/>
          <w:highlight w:val="white"/>
        </w:rPr>
        <w:t>Liban M. J. v. Sec’y, Dep’t of Homeland Sec.</w:t>
      </w:r>
      <w:r>
        <w:rPr>
          <w:rFonts w:ascii="Times New Roman" w:eastAsia="Times New Roman" w:hAnsi="Times New Roman" w:cs="Times New Roman"/>
          <w:sz w:val="26"/>
          <w:szCs w:val="26"/>
          <w:highlight w:val="white"/>
        </w:rPr>
        <w:t>, 367 F.</w:t>
      </w:r>
      <w:r w:rsidR="00A84838">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sz w:val="26"/>
          <w:szCs w:val="26"/>
          <w:highlight w:val="white"/>
        </w:rPr>
        <w:t>Supp.</w:t>
      </w:r>
      <w:r w:rsidR="00A84838">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sz w:val="26"/>
          <w:szCs w:val="26"/>
          <w:highlight w:val="white"/>
        </w:rPr>
        <w:t xml:space="preserve">3d 959 (D. Minn. 2019); </w:t>
      </w:r>
      <w:r>
        <w:rPr>
          <w:rFonts w:ascii="Times New Roman" w:eastAsia="Times New Roman" w:hAnsi="Times New Roman" w:cs="Times New Roman"/>
          <w:i/>
          <w:sz w:val="26"/>
          <w:szCs w:val="26"/>
          <w:highlight w:val="white"/>
        </w:rPr>
        <w:t>Bolus A. D. v. Sec’y of Homeland Sec.</w:t>
      </w:r>
      <w:r>
        <w:rPr>
          <w:rFonts w:ascii="Times New Roman" w:eastAsia="Times New Roman" w:hAnsi="Times New Roman" w:cs="Times New Roman"/>
          <w:sz w:val="26"/>
          <w:szCs w:val="26"/>
          <w:highlight w:val="white"/>
        </w:rPr>
        <w:t>, 376 F.</w:t>
      </w:r>
      <w:r w:rsidR="00A84838">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sz w:val="26"/>
          <w:szCs w:val="26"/>
          <w:highlight w:val="white"/>
        </w:rPr>
        <w:t>Supp.</w:t>
      </w:r>
      <w:r w:rsidR="00A84838">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sz w:val="26"/>
          <w:szCs w:val="26"/>
          <w:highlight w:val="white"/>
        </w:rPr>
        <w:t xml:space="preserve">3d 959 (D. Minn. 2019); </w:t>
      </w:r>
      <w:r>
        <w:rPr>
          <w:rFonts w:ascii="Times New Roman" w:eastAsia="Times New Roman" w:hAnsi="Times New Roman" w:cs="Times New Roman"/>
          <w:i/>
          <w:sz w:val="26"/>
          <w:szCs w:val="26"/>
          <w:highlight w:val="white"/>
        </w:rPr>
        <w:t>Abshir H. A. v. Barr</w:t>
      </w:r>
      <w:r>
        <w:rPr>
          <w:rFonts w:ascii="Times New Roman" w:eastAsia="Times New Roman" w:hAnsi="Times New Roman" w:cs="Times New Roman"/>
          <w:sz w:val="26"/>
          <w:szCs w:val="26"/>
          <w:highlight w:val="white"/>
        </w:rPr>
        <w:t xml:space="preserve">, No. 19-cv-1033 (PAM/TNL), 2019 WL 3719414 (D. Minn. June 28, 2019); </w:t>
      </w:r>
      <w:r>
        <w:rPr>
          <w:rFonts w:ascii="Times New Roman" w:eastAsia="Times New Roman" w:hAnsi="Times New Roman" w:cs="Times New Roman"/>
          <w:i/>
          <w:sz w:val="26"/>
          <w:szCs w:val="26"/>
          <w:highlight w:val="white"/>
        </w:rPr>
        <w:t>Haji S. v. Barr</w:t>
      </w:r>
      <w:r>
        <w:rPr>
          <w:rFonts w:ascii="Times New Roman" w:eastAsia="Times New Roman" w:hAnsi="Times New Roman" w:cs="Times New Roman"/>
          <w:sz w:val="26"/>
          <w:szCs w:val="26"/>
          <w:highlight w:val="white"/>
        </w:rPr>
        <w:t xml:space="preserve">, No. 18-3493 (PAM/LIB), 2019 WL 3238354 (D. Minn. July 18, 2019); </w:t>
      </w:r>
      <w:r>
        <w:rPr>
          <w:rFonts w:ascii="Times New Roman" w:eastAsia="Times New Roman" w:hAnsi="Times New Roman" w:cs="Times New Roman"/>
          <w:i/>
          <w:sz w:val="26"/>
          <w:szCs w:val="26"/>
          <w:highlight w:val="white"/>
        </w:rPr>
        <w:t>Omar M. v. Barr</w:t>
      </w:r>
      <w:r>
        <w:rPr>
          <w:rFonts w:ascii="Times New Roman" w:eastAsia="Times New Roman" w:hAnsi="Times New Roman" w:cs="Times New Roman"/>
          <w:sz w:val="26"/>
          <w:szCs w:val="26"/>
          <w:highlight w:val="white"/>
        </w:rPr>
        <w:t xml:space="preserve">, No. 18-cv-2646 (JNE/ECW), 2019 WL 2755937 at *1 (D. Minn. July 2, 2019); </w:t>
      </w:r>
      <w:r>
        <w:rPr>
          <w:rFonts w:ascii="Times New Roman" w:eastAsia="Times New Roman" w:hAnsi="Times New Roman" w:cs="Times New Roman"/>
          <w:i/>
          <w:sz w:val="26"/>
          <w:szCs w:val="26"/>
          <w:highlight w:val="white"/>
        </w:rPr>
        <w:t>Enrique U. R. v. Sec’y of Homeland Sec.</w:t>
      </w:r>
      <w:r>
        <w:rPr>
          <w:rFonts w:ascii="Times New Roman" w:eastAsia="Times New Roman" w:hAnsi="Times New Roman" w:cs="Times New Roman"/>
          <w:sz w:val="26"/>
          <w:szCs w:val="26"/>
          <w:highlight w:val="white"/>
        </w:rPr>
        <w:t xml:space="preserve">, No. 19-cv-1063 (MJD/BRT), 2019 WL 4120149 (D. Minn. June 17, 2019); </w:t>
      </w:r>
      <w:r>
        <w:rPr>
          <w:rFonts w:ascii="Times New Roman" w:eastAsia="Times New Roman" w:hAnsi="Times New Roman" w:cs="Times New Roman"/>
          <w:i/>
          <w:sz w:val="26"/>
          <w:szCs w:val="26"/>
          <w:highlight w:val="white"/>
        </w:rPr>
        <w:t>Duol J. v. Sec’y Dep’t of Homeland Sec.</w:t>
      </w:r>
      <w:r>
        <w:rPr>
          <w:rFonts w:ascii="Times New Roman" w:eastAsia="Times New Roman" w:hAnsi="Times New Roman" w:cs="Times New Roman"/>
          <w:sz w:val="26"/>
          <w:szCs w:val="26"/>
          <w:highlight w:val="white"/>
        </w:rPr>
        <w:t>, No. 18-cv-3266 (PJS/LIB), 2019 WL 3769711 (D. Minn. June 17, 2019),</w:t>
      </w:r>
      <w:r>
        <w:rPr>
          <w:rFonts w:ascii="Times New Roman" w:eastAsia="Times New Roman" w:hAnsi="Times New Roman" w:cs="Times New Roman"/>
          <w:i/>
          <w:sz w:val="26"/>
          <w:szCs w:val="26"/>
          <w:highlight w:val="white"/>
        </w:rPr>
        <w:t xml:space="preserve"> report and recommendation vacated as moot</w:t>
      </w:r>
      <w:r>
        <w:rPr>
          <w:rFonts w:ascii="Times New Roman" w:eastAsia="Times New Roman" w:hAnsi="Times New Roman" w:cs="Times New Roman"/>
          <w:sz w:val="26"/>
          <w:szCs w:val="26"/>
          <w:highlight w:val="white"/>
        </w:rPr>
        <w:t xml:space="preserve">, 2019 WL 3767535 (Aug. 9, 2019); </w:t>
      </w:r>
      <w:r>
        <w:rPr>
          <w:rFonts w:ascii="Times New Roman" w:eastAsia="Times New Roman" w:hAnsi="Times New Roman" w:cs="Times New Roman"/>
          <w:i/>
          <w:sz w:val="26"/>
          <w:szCs w:val="26"/>
          <w:highlight w:val="white"/>
        </w:rPr>
        <w:t>Mohamed A. v. Nielsen</w:t>
      </w:r>
      <w:r>
        <w:rPr>
          <w:rFonts w:ascii="Times New Roman" w:eastAsia="Times New Roman" w:hAnsi="Times New Roman" w:cs="Times New Roman"/>
          <w:sz w:val="26"/>
          <w:szCs w:val="26"/>
          <w:highlight w:val="white"/>
        </w:rPr>
        <w:t xml:space="preserve">, No. 19-cv-49 (ECT/ECW), 2019 WL 2396761 (D. Minn. May 16, 2019), </w:t>
      </w:r>
      <w:r>
        <w:rPr>
          <w:rFonts w:ascii="Times New Roman" w:eastAsia="Times New Roman" w:hAnsi="Times New Roman" w:cs="Times New Roman"/>
          <w:i/>
          <w:sz w:val="26"/>
          <w:szCs w:val="26"/>
          <w:highlight w:val="white"/>
        </w:rPr>
        <w:t xml:space="preserve">report and recommendation </w:t>
      </w:r>
      <w:r>
        <w:rPr>
          <w:rFonts w:ascii="Times New Roman" w:eastAsia="Times New Roman" w:hAnsi="Times New Roman" w:cs="Times New Roman"/>
          <w:i/>
          <w:sz w:val="26"/>
          <w:szCs w:val="26"/>
          <w:highlight w:val="white"/>
        </w:rPr>
        <w:lastRenderedPageBreak/>
        <w:t>vacated as moot</w:t>
      </w:r>
      <w:r>
        <w:rPr>
          <w:rFonts w:ascii="Times New Roman" w:eastAsia="Times New Roman" w:hAnsi="Times New Roman" w:cs="Times New Roman"/>
          <w:sz w:val="26"/>
          <w:szCs w:val="26"/>
          <w:highlight w:val="white"/>
        </w:rPr>
        <w:t xml:space="preserve">, 2019 WL 2395408 (June 6, 2019); </w:t>
      </w:r>
      <w:r>
        <w:rPr>
          <w:rFonts w:ascii="Times New Roman" w:eastAsia="Times New Roman" w:hAnsi="Times New Roman" w:cs="Times New Roman"/>
          <w:i/>
          <w:sz w:val="26"/>
          <w:szCs w:val="26"/>
          <w:highlight w:val="white"/>
        </w:rPr>
        <w:t>Tao J. v. Sec’y, Dep’t of Homeland Sec.</w:t>
      </w:r>
      <w:r>
        <w:rPr>
          <w:rFonts w:ascii="Times New Roman" w:eastAsia="Times New Roman" w:hAnsi="Times New Roman" w:cs="Times New Roman"/>
          <w:sz w:val="26"/>
          <w:szCs w:val="26"/>
          <w:highlight w:val="white"/>
        </w:rPr>
        <w:t xml:space="preserve">, No. 18-cv-1845-NEB-HB, 2019 WL 1923110 (D. Minn. Apr. 30, 2019); </w:t>
      </w:r>
      <w:r>
        <w:rPr>
          <w:rFonts w:ascii="Times New Roman" w:eastAsia="Times New Roman" w:hAnsi="Times New Roman" w:cs="Times New Roman"/>
          <w:i/>
          <w:sz w:val="26"/>
          <w:szCs w:val="26"/>
          <w:highlight w:val="white"/>
        </w:rPr>
        <w:t>Abdulkadir A. v. Sessions</w:t>
      </w:r>
      <w:r>
        <w:rPr>
          <w:rFonts w:ascii="Times New Roman" w:eastAsia="Times New Roman" w:hAnsi="Times New Roman" w:cs="Times New Roman"/>
          <w:sz w:val="26"/>
          <w:szCs w:val="26"/>
          <w:highlight w:val="white"/>
        </w:rPr>
        <w:t xml:space="preserve">, No. 18-cv-2353-NEB-HB, 2018 WL 7048363 (D. Minn. Nov. 13, 2018). This Court has gone so far as to hold that “the government’s position was not substantially justified” and did not have a “reasonable basis in law and fact” under the Equal Access to Justice Act, 28 U.S.C. § 2412. </w:t>
      </w:r>
      <w:r>
        <w:rPr>
          <w:rFonts w:ascii="Times New Roman" w:eastAsia="Times New Roman" w:hAnsi="Times New Roman" w:cs="Times New Roman"/>
          <w:i/>
          <w:sz w:val="26"/>
          <w:szCs w:val="26"/>
          <w:highlight w:val="white"/>
        </w:rPr>
        <w:t>Muse v. Barr</w:t>
      </w:r>
      <w:r>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i/>
          <w:sz w:val="26"/>
          <w:szCs w:val="26"/>
          <w:highlight w:val="white"/>
        </w:rPr>
        <w:t>Muse II</w:t>
      </w:r>
      <w:r>
        <w:rPr>
          <w:rFonts w:ascii="Times New Roman" w:eastAsia="Times New Roman" w:hAnsi="Times New Roman" w:cs="Times New Roman"/>
          <w:sz w:val="26"/>
          <w:szCs w:val="26"/>
          <w:highlight w:val="white"/>
        </w:rPr>
        <w:t xml:space="preserve">”), No. 18-cv-54 (PJS/LIB), 2019 WL 4254676 at *3-4 (D. Minn. Sept. 9, 2019) (awarding attorneys’ fees and finding that this “position has not been accepted by a single court, and it cannot be squared with </w:t>
      </w:r>
      <w:r>
        <w:rPr>
          <w:rFonts w:ascii="Times New Roman" w:eastAsia="Times New Roman" w:hAnsi="Times New Roman" w:cs="Times New Roman"/>
          <w:i/>
          <w:sz w:val="26"/>
          <w:szCs w:val="26"/>
          <w:highlight w:val="white"/>
        </w:rPr>
        <w:t>Jennings</w:t>
      </w:r>
      <w:r>
        <w:rPr>
          <w:rFonts w:ascii="Times New Roman" w:eastAsia="Times New Roman" w:hAnsi="Times New Roman" w:cs="Times New Roman"/>
          <w:sz w:val="26"/>
          <w:szCs w:val="26"/>
          <w:highlight w:val="white"/>
        </w:rPr>
        <w:t xml:space="preserve"> and </w:t>
      </w:r>
      <w:r>
        <w:rPr>
          <w:rFonts w:ascii="Times New Roman" w:eastAsia="Times New Roman" w:hAnsi="Times New Roman" w:cs="Times New Roman"/>
          <w:i/>
          <w:sz w:val="26"/>
          <w:szCs w:val="26"/>
          <w:highlight w:val="white"/>
        </w:rPr>
        <w:t>Zadvydas</w:t>
      </w:r>
      <w:r>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sz w:val="26"/>
          <w:szCs w:val="26"/>
        </w:rPr>
        <w:t xml:space="preserve">In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’s case, these factors establish that his constitutional interest in personal liberty is compelling and requires release.</w:t>
      </w:r>
    </w:p>
    <w:p w14:paraId="0E2D1099" w14:textId="77777777" w:rsidR="00125048" w:rsidRDefault="006A2A7A">
      <w:pPr>
        <w:spacing w:line="48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Length of Detention</w:t>
      </w:r>
    </w:p>
    <w:p w14:paraId="71E27A0C" w14:textId="661606C3" w:rsidR="00125048" w:rsidRDefault="006A2A7A">
      <w:pPr>
        <w:tabs>
          <w:tab w:val="left" w:pos="810"/>
        </w:tabs>
        <w:spacing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Pr>
          <w:rFonts w:ascii="Times New Roman" w:eastAsia="Times New Roman" w:hAnsi="Times New Roman" w:cs="Times New Roman"/>
          <w:sz w:val="26"/>
          <w:szCs w:val="26"/>
        </w:rPr>
        <w:tab/>
        <w:t xml:space="preserve">“[C]ourts have described the first factor, which looks at the length of detention, as the most important.” </w:t>
      </w:r>
      <w:r>
        <w:rPr>
          <w:rFonts w:ascii="Times New Roman" w:eastAsia="Times New Roman" w:hAnsi="Times New Roman" w:cs="Times New Roman"/>
          <w:i/>
          <w:sz w:val="26"/>
          <w:szCs w:val="26"/>
        </w:rPr>
        <w:t>Portillo v. Hott</w:t>
      </w:r>
      <w:r>
        <w:rPr>
          <w:rFonts w:ascii="Times New Roman" w:eastAsia="Times New Roman" w:hAnsi="Times New Roman" w:cs="Times New Roman"/>
          <w:sz w:val="26"/>
          <w:szCs w:val="26"/>
        </w:rPr>
        <w:t xml:space="preserve">, 322 F. Supp. 3d 698, 708 (E.D. Va. 2018). The length of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detention favors granting relief.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been in custody for 361 days, over 11 months,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Exh. C, and the government has never made any individualized determination as to his dangerousness or flight risk. This Court and others have granted writs of habeas corpus in cases involving challenges to periods of 1226(c) detention that were comparable to or shorter than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w:t>
      </w:r>
      <w:r>
        <w:rPr>
          <w:rFonts w:ascii="Times New Roman" w:eastAsia="Times New Roman" w:hAnsi="Times New Roman" w:cs="Times New Roman"/>
          <w:i/>
          <w:sz w:val="26"/>
          <w:szCs w:val="26"/>
        </w:rPr>
        <w:t>See e.g.</w:t>
      </w: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 Abdulkadir A.</w:t>
      </w:r>
      <w:r>
        <w:rPr>
          <w:rFonts w:ascii="Times New Roman" w:eastAsia="Times New Roman" w:hAnsi="Times New Roman" w:cs="Times New Roman"/>
          <w:sz w:val="26"/>
          <w:szCs w:val="26"/>
        </w:rPr>
        <w:t xml:space="preserve">, No. 19-cv-2353 (NEB/HB), 2019 WL 201761 (D. Minn. Jan. 15, 2019), </w:t>
      </w:r>
      <w:r>
        <w:rPr>
          <w:rFonts w:ascii="Times New Roman" w:eastAsia="Times New Roman" w:hAnsi="Times New Roman" w:cs="Times New Roman"/>
          <w:i/>
          <w:sz w:val="26"/>
          <w:szCs w:val="26"/>
        </w:rPr>
        <w:t>report and recommendation adopted</w:t>
      </w:r>
      <w:r>
        <w:rPr>
          <w:rFonts w:ascii="Times New Roman" w:eastAsia="Times New Roman" w:hAnsi="Times New Roman" w:cs="Times New Roman"/>
          <w:sz w:val="26"/>
          <w:szCs w:val="26"/>
        </w:rPr>
        <w:t xml:space="preserve">, 2018 WL 7048363, at *12 (D. Minn. Nov. 13, 2018) (nine months); </w:t>
      </w:r>
      <w:r>
        <w:rPr>
          <w:rFonts w:ascii="Times New Roman" w:eastAsia="Times New Roman" w:hAnsi="Times New Roman" w:cs="Times New Roman"/>
          <w:i/>
          <w:sz w:val="26"/>
          <w:szCs w:val="26"/>
        </w:rPr>
        <w:t>Sajous v. Decker</w:t>
      </w:r>
      <w:r>
        <w:rPr>
          <w:rFonts w:ascii="Times New Roman" w:eastAsia="Times New Roman" w:hAnsi="Times New Roman" w:cs="Times New Roman"/>
          <w:sz w:val="26"/>
          <w:szCs w:val="26"/>
        </w:rPr>
        <w:t xml:space="preserve">, No. 18-cv-2447, 2018 WL 2357266, at *1 (S.D.N.Y. May 23, 2018) (eight months); </w:t>
      </w:r>
      <w:r>
        <w:rPr>
          <w:rFonts w:ascii="Times New Roman" w:eastAsia="Times New Roman" w:hAnsi="Times New Roman" w:cs="Times New Roman"/>
          <w:i/>
          <w:sz w:val="26"/>
          <w:szCs w:val="26"/>
        </w:rPr>
        <w:t>Jarpa v. Mumford</w:t>
      </w:r>
      <w:r>
        <w:rPr>
          <w:rFonts w:ascii="Times New Roman" w:eastAsia="Times New Roman" w:hAnsi="Times New Roman" w:cs="Times New Roman"/>
          <w:sz w:val="26"/>
          <w:szCs w:val="26"/>
        </w:rPr>
        <w:t xml:space="preserve">, 211 F. Supp. 3d 706, 710, </w:t>
      </w:r>
      <w:r>
        <w:rPr>
          <w:rFonts w:ascii="Times New Roman" w:eastAsia="Times New Roman" w:hAnsi="Times New Roman" w:cs="Times New Roman"/>
          <w:sz w:val="26"/>
          <w:szCs w:val="26"/>
        </w:rPr>
        <w:lastRenderedPageBreak/>
        <w:t xml:space="preserve">717 n.6 (D. Md. 2016) (ten months); </w:t>
      </w:r>
      <w:r>
        <w:rPr>
          <w:rFonts w:ascii="Times New Roman" w:eastAsia="Times New Roman" w:hAnsi="Times New Roman" w:cs="Times New Roman"/>
          <w:i/>
          <w:sz w:val="26"/>
          <w:szCs w:val="26"/>
        </w:rPr>
        <w:t>Gordon v. Shanahan</w:t>
      </w:r>
      <w:r>
        <w:rPr>
          <w:rFonts w:ascii="Times New Roman" w:eastAsia="Times New Roman" w:hAnsi="Times New Roman" w:cs="Times New Roman"/>
          <w:sz w:val="26"/>
          <w:szCs w:val="26"/>
        </w:rPr>
        <w:t>, No. 15-cv-261, 2015 WL 1176706, at *3–4 (S.D.N.Y. Mar</w:t>
      </w:r>
      <w:r w:rsidR="00A8483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13, 2015) (eight months). As the length of detention increases, the government’s burden to justify the detention should be considered ever harder for it to meet.</w:t>
      </w:r>
      <w:r>
        <w:rPr>
          <w:rFonts w:ascii="Times New Roman" w:eastAsia="Times New Roman" w:hAnsi="Times New Roman" w:cs="Times New Roman"/>
          <w:i/>
          <w:sz w:val="26"/>
          <w:szCs w:val="26"/>
        </w:rPr>
        <w:t xml:space="preserve"> See Kansas v. Hendricks</w:t>
      </w:r>
      <w:r>
        <w:rPr>
          <w:rFonts w:ascii="Times New Roman" w:eastAsia="Times New Roman" w:hAnsi="Times New Roman" w:cs="Times New Roman"/>
          <w:sz w:val="26"/>
          <w:szCs w:val="26"/>
        </w:rPr>
        <w:t xml:space="preserve">, 521 U.S. 346, 363–64 (1997); </w:t>
      </w:r>
      <w:r>
        <w:rPr>
          <w:rFonts w:ascii="Times New Roman" w:eastAsia="Times New Roman" w:hAnsi="Times New Roman" w:cs="Times New Roman"/>
          <w:i/>
          <w:sz w:val="26"/>
          <w:szCs w:val="26"/>
        </w:rPr>
        <w:t>Chavez-Alvarez v. Warden York Cnty. Prison</w:t>
      </w:r>
      <w:r>
        <w:rPr>
          <w:rFonts w:ascii="Times New Roman" w:eastAsia="Times New Roman" w:hAnsi="Times New Roman" w:cs="Times New Roman"/>
          <w:sz w:val="26"/>
          <w:szCs w:val="26"/>
        </w:rPr>
        <w:t xml:space="preserve">, 783 F.3d 469, 474 (3d Cir. 2015), </w:t>
      </w:r>
      <w:r>
        <w:rPr>
          <w:rFonts w:ascii="Times New Roman" w:eastAsia="Times New Roman" w:hAnsi="Times New Roman" w:cs="Times New Roman"/>
          <w:i/>
          <w:sz w:val="26"/>
          <w:szCs w:val="26"/>
        </w:rPr>
        <w:t>abrogated in part and on other grounds by</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Jennings</w:t>
      </w:r>
      <w:r>
        <w:rPr>
          <w:rFonts w:ascii="Times New Roman" w:eastAsia="Times New Roman" w:hAnsi="Times New Roman" w:cs="Times New Roman"/>
          <w:sz w:val="26"/>
          <w:szCs w:val="26"/>
        </w:rPr>
        <w:t>, 138 S.</w:t>
      </w:r>
      <w:r w:rsidR="00A8483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Ct. at 847 (citing </w:t>
      </w:r>
      <w:r>
        <w:rPr>
          <w:rFonts w:ascii="Times New Roman" w:eastAsia="Times New Roman" w:hAnsi="Times New Roman" w:cs="Times New Roman"/>
          <w:i/>
          <w:sz w:val="26"/>
          <w:szCs w:val="26"/>
        </w:rPr>
        <w:t>Diop v. ICE/Homeland Sec.</w:t>
      </w:r>
      <w:r>
        <w:rPr>
          <w:rFonts w:ascii="Times New Roman" w:eastAsia="Times New Roman" w:hAnsi="Times New Roman" w:cs="Times New Roman"/>
          <w:sz w:val="26"/>
          <w:szCs w:val="26"/>
        </w:rPr>
        <w:t>, 656 F.3d 221, 232, 234 (3d Cir. 2011)).</w:t>
      </w:r>
      <w:r>
        <w:rPr>
          <w:rFonts w:ascii="Times New Roman" w:eastAsia="Times New Roman" w:hAnsi="Times New Roman" w:cs="Times New Roman"/>
          <w:i/>
          <w:sz w:val="26"/>
          <w:szCs w:val="26"/>
        </w:rPr>
        <w:t xml:space="preserv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almost twelve months of continuous civil imprisonment strongly support his claim for habeas relief. </w:t>
      </w:r>
    </w:p>
    <w:p w14:paraId="18710E9B" w14:textId="77777777" w:rsidR="00125048" w:rsidRDefault="006A2A7A">
      <w:pPr>
        <w:spacing w:line="48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Conditions of Detention</w:t>
      </w:r>
    </w:p>
    <w:p w14:paraId="444A07AE" w14:textId="2143664B" w:rsidR="00125048" w:rsidRDefault="006A2A7A">
      <w:pPr>
        <w:spacing w:line="48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41.</w:t>
      </w:r>
      <w:r>
        <w:rPr>
          <w:rFonts w:ascii="Times New Roman" w:eastAsia="Times New Roman" w:hAnsi="Times New Roman" w:cs="Times New Roman"/>
          <w:sz w:val="26"/>
          <w:szCs w:val="26"/>
        </w:rPr>
        <w:tab/>
        <w:t xml:space="preserve">The similarity between the conditions of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detention and penal confinement weigh in favor of granting habeas relief. Removal proceedings are civil, not criminal. As such, they are, at least in theory, “nonpunitive in purpose and effect.” </w:t>
      </w:r>
      <w:r>
        <w:rPr>
          <w:rFonts w:ascii="Times New Roman" w:eastAsia="Times New Roman" w:hAnsi="Times New Roman" w:cs="Times New Roman"/>
          <w:i/>
          <w:sz w:val="26"/>
          <w:szCs w:val="26"/>
        </w:rPr>
        <w:t>Zadvydas</w:t>
      </w:r>
      <w:r>
        <w:rPr>
          <w:rFonts w:ascii="Times New Roman" w:eastAsia="Times New Roman" w:hAnsi="Times New Roman" w:cs="Times New Roman"/>
          <w:sz w:val="26"/>
          <w:szCs w:val="26"/>
        </w:rPr>
        <w:t xml:space="preserve">, 533 U.S. at 690. However, “merely calling a confinement ‘civil detention’ does not, of itself, meaningfully differentiate it from penal measures.” </w:t>
      </w:r>
      <w:r>
        <w:rPr>
          <w:rFonts w:ascii="Times New Roman" w:eastAsia="Times New Roman" w:hAnsi="Times New Roman" w:cs="Times New Roman"/>
          <w:i/>
          <w:sz w:val="26"/>
          <w:szCs w:val="26"/>
        </w:rPr>
        <w:t>Chavez-Alvarez</w:t>
      </w:r>
      <w:r>
        <w:rPr>
          <w:rFonts w:ascii="Times New Roman" w:eastAsia="Times New Roman" w:hAnsi="Times New Roman" w:cs="Times New Roman"/>
          <w:sz w:val="26"/>
          <w:szCs w:val="26"/>
        </w:rPr>
        <w:t xml:space="preserve">, 783 F.3d at 478. The more that detention conditions resemble penal confinement, the stronger the argument that detainees are entitled to bond hearings. </w:t>
      </w:r>
      <w:r>
        <w:rPr>
          <w:rFonts w:ascii="Times New Roman" w:eastAsia="Times New Roman" w:hAnsi="Times New Roman" w:cs="Times New Roman"/>
          <w:i/>
          <w:sz w:val="26"/>
          <w:szCs w:val="26"/>
        </w:rPr>
        <w:t>Muse</w:t>
      </w:r>
      <w:r>
        <w:rPr>
          <w:rFonts w:ascii="Times New Roman" w:eastAsia="Times New Roman" w:hAnsi="Times New Roman" w:cs="Times New Roman"/>
          <w:sz w:val="26"/>
          <w:szCs w:val="26"/>
        </w:rPr>
        <w:t xml:space="preserve">, 2018 WL 4466052, at *5 (“As the length of detention grows, the weight given to this aspect of detention increases.”) (citing </w:t>
      </w:r>
      <w:r>
        <w:rPr>
          <w:rFonts w:ascii="Times New Roman" w:eastAsia="Times New Roman" w:hAnsi="Times New Roman" w:cs="Times New Roman"/>
          <w:i/>
          <w:sz w:val="26"/>
          <w:szCs w:val="26"/>
        </w:rPr>
        <w:t>Chavez-Alvarez</w:t>
      </w:r>
      <w:r>
        <w:rPr>
          <w:rFonts w:ascii="Times New Roman" w:eastAsia="Times New Roman" w:hAnsi="Times New Roman" w:cs="Times New Roman"/>
          <w:sz w:val="26"/>
          <w:szCs w:val="26"/>
        </w:rPr>
        <w:t xml:space="preserve">, 783 F.3d at 478). </w:t>
      </w:r>
    </w:p>
    <w:p w14:paraId="671580F7" w14:textId="39C400F4" w:rsidR="00125048" w:rsidRDefault="006A2A7A">
      <w:pPr>
        <w:spacing w:line="48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42.</w:t>
      </w:r>
      <w:r>
        <w:rPr>
          <w:rFonts w:ascii="Times New Roman" w:eastAsia="Times New Roman" w:hAnsi="Times New Roman" w:cs="Times New Roman"/>
          <w:sz w:val="26"/>
          <w:szCs w:val="26"/>
        </w:rPr>
        <w:tab/>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is currently confined in the Kandiyohi County Jail in Willmar, MN. He is detained alongside inmates who are serving criminal sentences and awaiting criminal trials. A county jail is primarily designed to house criminal defendants for the short period of time pending trial; such facilities are not designed to house civil detainees </w:t>
      </w:r>
      <w:r>
        <w:rPr>
          <w:rFonts w:ascii="Times New Roman" w:eastAsia="Times New Roman" w:hAnsi="Times New Roman" w:cs="Times New Roman"/>
          <w:sz w:val="26"/>
          <w:szCs w:val="26"/>
        </w:rPr>
        <w:lastRenderedPageBreak/>
        <w:t xml:space="preserve">for extensive periods of time. As stated before,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endured degrading, dehumanizing treatment at Kandiyohi County jail. Although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submitted several complaints and grievance forms to the supervising officers in Kandiyohi, he has not yet seen any action taken. Thus, the character of his confinement conditions is indistinguishable from penal confinement, and this factor weighs strongly in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’s favor.</w:t>
      </w:r>
    </w:p>
    <w:p w14:paraId="3F016D01" w14:textId="77777777" w:rsidR="00125048" w:rsidRDefault="006A2A7A">
      <w:pPr>
        <w:spacing w:line="48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Responsibility for Delays</w:t>
      </w:r>
    </w:p>
    <w:p w14:paraId="34BFA112" w14:textId="420DB4E3" w:rsidR="00125048" w:rsidRDefault="006A2A7A">
      <w:pPr>
        <w:spacing w:line="48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43.</w:t>
      </w:r>
      <w:r>
        <w:rPr>
          <w:rFonts w:ascii="Times New Roman" w:eastAsia="Times New Roman" w:hAnsi="Times New Roman" w:cs="Times New Roman"/>
          <w:sz w:val="26"/>
          <w:szCs w:val="26"/>
        </w:rPr>
        <w:tab/>
        <w:t xml:space="preserve">The two factors related to responsibility for delay neither weigh in favor of nor against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habeas petition because neither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nor DHS have caused delays in the proceedings.</w:t>
      </w:r>
      <w:r>
        <w:rPr>
          <w:rFonts w:ascii="Times New Roman" w:eastAsia="Times New Roman" w:hAnsi="Times New Roman" w:cs="Times New Roman"/>
          <w:sz w:val="26"/>
          <w:szCs w:val="26"/>
          <w:vertAlign w:val="superscript"/>
        </w:rPr>
        <w:footnoteReference w:id="3"/>
      </w:r>
      <w:r>
        <w:rPr>
          <w:rFonts w:ascii="Times New Roman" w:eastAsia="Times New Roman" w:hAnsi="Times New Roman" w:cs="Times New Roman"/>
          <w:sz w:val="26"/>
          <w:szCs w:val="26"/>
        </w:rPr>
        <w:t xml:space="preserve">  </w:t>
      </w:r>
    </w:p>
    <w:p w14:paraId="410CA939" w14:textId="64980BFF" w:rsidR="00125048" w:rsidRDefault="006A2A7A" w:rsidP="003A2AA8">
      <w:pPr>
        <w:spacing w:line="48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Likely Duration of Future Detention &amp; Likelihood of Final Order of Removal</w:t>
      </w:r>
    </w:p>
    <w:p w14:paraId="1DC4BEE9" w14:textId="77777777" w:rsidR="00125048" w:rsidRDefault="006A2A7A">
      <w:pPr>
        <w:spacing w:after="160" w:line="48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44.</w:t>
      </w:r>
      <w:r>
        <w:rPr>
          <w:rFonts w:ascii="Times New Roman" w:eastAsia="Times New Roman" w:hAnsi="Times New Roman" w:cs="Times New Roman"/>
          <w:sz w:val="26"/>
          <w:szCs w:val="26"/>
        </w:rPr>
        <w:tab/>
        <w:t xml:space="preserve">The last two factors, which are closely linked, weigh in favor of granting habeas relief. “The entire process [including administrative and judicial appeals] is subject to the constitutional requirement of reasonability.” </w:t>
      </w:r>
      <w:r>
        <w:rPr>
          <w:rFonts w:ascii="Times New Roman" w:eastAsia="Times New Roman" w:hAnsi="Times New Roman" w:cs="Times New Roman"/>
          <w:i/>
          <w:sz w:val="26"/>
          <w:szCs w:val="26"/>
        </w:rPr>
        <w:t>Muse</w:t>
      </w:r>
      <w:r>
        <w:rPr>
          <w:rFonts w:ascii="Times New Roman" w:eastAsia="Times New Roman" w:hAnsi="Times New Roman" w:cs="Times New Roman"/>
          <w:sz w:val="26"/>
          <w:szCs w:val="26"/>
        </w:rPr>
        <w:t>, 2018 WL 4466052, at *5 (citing</w:t>
      </w:r>
      <w:r>
        <w:rPr>
          <w:rFonts w:ascii="Times New Roman" w:eastAsia="Times New Roman" w:hAnsi="Times New Roman" w:cs="Times New Roman"/>
          <w:i/>
          <w:sz w:val="26"/>
          <w:szCs w:val="26"/>
        </w:rPr>
        <w:t xml:space="preserve"> Ly v. Hansen</w:t>
      </w:r>
      <w:r>
        <w:rPr>
          <w:rFonts w:ascii="Times New Roman" w:eastAsia="Times New Roman" w:hAnsi="Times New Roman" w:cs="Times New Roman"/>
          <w:sz w:val="26"/>
          <w:szCs w:val="26"/>
        </w:rPr>
        <w:t>, 351 F.3d, 263, 272 (6th Cir. 2003)).</w:t>
      </w:r>
    </w:p>
    <w:p w14:paraId="1FDCA3E6" w14:textId="6C5948F2" w:rsidR="00125048" w:rsidRDefault="006A2A7A">
      <w:pPr>
        <w:spacing w:after="16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r>
        <w:rPr>
          <w:rFonts w:ascii="Times New Roman" w:eastAsia="Times New Roman" w:hAnsi="Times New Roman" w:cs="Times New Roman"/>
          <w:sz w:val="26"/>
          <w:szCs w:val="26"/>
        </w:rPr>
        <w:tab/>
        <w:t xml:space="preserve">On November 8, 2019, Immigration Judge Carr issued her Order granting DHS’s Motion to Terminate Withholding of Removal, and denying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petition for </w:t>
      </w:r>
      <w:r>
        <w:rPr>
          <w:rFonts w:ascii="Times New Roman" w:eastAsia="Times New Roman" w:hAnsi="Times New Roman" w:cs="Times New Roman"/>
          <w:sz w:val="26"/>
          <w:szCs w:val="26"/>
        </w:rPr>
        <w:lastRenderedPageBreak/>
        <w:t xml:space="preserve">Convention Against Torture (CAT) relief.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Exh. D.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thirty (30) days to appeal this Order to the BIA, 8 U.S.C. § 1252(b)(1), which he will do. His appeal has a strong likelihood of success, mainly because the IJ failed to recognize the overbreadth of Minn. Stat. § 609.24. </w:t>
      </w:r>
    </w:p>
    <w:p w14:paraId="6E886B52" w14:textId="069B08D4" w:rsidR="00125048" w:rsidRDefault="006A2A7A">
      <w:pPr>
        <w:spacing w:after="160" w:line="480" w:lineRule="auto"/>
        <w:rPr>
          <w:rFonts w:ascii="Times New Roman" w:eastAsia="Times New Roman" w:hAnsi="Times New Roman" w:cs="Times New Roman"/>
          <w:sz w:val="24"/>
          <w:szCs w:val="24"/>
          <w:highlight w:val="yellow"/>
          <w:u w:val="single"/>
        </w:rPr>
      </w:pPr>
      <w:r>
        <w:rPr>
          <w:rFonts w:ascii="Times New Roman" w:eastAsia="Times New Roman" w:hAnsi="Times New Roman" w:cs="Times New Roman"/>
          <w:sz w:val="26"/>
          <w:szCs w:val="26"/>
        </w:rPr>
        <w:t>46.  The “aggravated felony” provision, 8 U.S.C. § 1227(a)(2)(A)(iii), holds that an alien is ineligible for certain forms of relief if he has been convicted of an aggravated felony. “</w:t>
      </w:r>
      <w:r>
        <w:rPr>
          <w:rFonts w:ascii="Times New Roman" w:eastAsia="Times New Roman" w:hAnsi="Times New Roman" w:cs="Times New Roman"/>
          <w:color w:val="3D3D3D"/>
          <w:sz w:val="27"/>
          <w:szCs w:val="27"/>
          <w:highlight w:val="white"/>
        </w:rPr>
        <w:t xml:space="preserve">To determine whether a state offense constitutes an aggravated felony under the INA, </w:t>
      </w:r>
      <w:r>
        <w:rPr>
          <w:rFonts w:ascii="Times New Roman" w:eastAsia="Times New Roman" w:hAnsi="Times New Roman" w:cs="Times New Roman"/>
          <w:sz w:val="26"/>
          <w:szCs w:val="26"/>
        </w:rPr>
        <w:t xml:space="preserve">we apply a categorical approach to ascertain whether the state statute categorically fits within the generic offense.” </w:t>
      </w:r>
      <w:r>
        <w:rPr>
          <w:rFonts w:ascii="Times New Roman" w:eastAsia="Times New Roman" w:hAnsi="Times New Roman" w:cs="Times New Roman"/>
          <w:i/>
          <w:sz w:val="26"/>
          <w:szCs w:val="26"/>
        </w:rPr>
        <w:t>Bedolla-Zarate v. Sessions</w:t>
      </w:r>
      <w:r>
        <w:rPr>
          <w:rFonts w:ascii="Times New Roman" w:eastAsia="Times New Roman" w:hAnsi="Times New Roman" w:cs="Times New Roman"/>
          <w:sz w:val="26"/>
          <w:szCs w:val="26"/>
        </w:rPr>
        <w:t xml:space="preserve">, 892 F.3d 1137, 1139 (10th Cir. 2018) (citing </w:t>
      </w:r>
      <w:r>
        <w:rPr>
          <w:rFonts w:ascii="Times New Roman" w:eastAsia="Times New Roman" w:hAnsi="Times New Roman" w:cs="Times New Roman"/>
          <w:i/>
          <w:sz w:val="26"/>
          <w:szCs w:val="26"/>
        </w:rPr>
        <w:t>Moncrieffe v. Holder</w:t>
      </w:r>
      <w:r>
        <w:rPr>
          <w:rFonts w:ascii="Times New Roman" w:eastAsia="Times New Roman" w:hAnsi="Times New Roman" w:cs="Times New Roman"/>
          <w:sz w:val="26"/>
          <w:szCs w:val="26"/>
        </w:rPr>
        <w:t xml:space="preserve">, 569 U.S. 184 (2013) (internal quotation marks omitted)). When the state statute is divisible, i.e. it lists several elements in the alternative as constituting the crime so defined, a court should use a “modified categorical approach” that looks at “a limited class of documents . . . to determine what crime, . . . , a defendant was convicted of.” </w:t>
      </w:r>
      <w:r>
        <w:rPr>
          <w:rFonts w:ascii="Times New Roman" w:eastAsia="Times New Roman" w:hAnsi="Times New Roman" w:cs="Times New Roman"/>
          <w:i/>
          <w:sz w:val="26"/>
          <w:szCs w:val="26"/>
        </w:rPr>
        <w:t>Mathis v. U.S.</w:t>
      </w:r>
      <w:r>
        <w:rPr>
          <w:rFonts w:ascii="Times New Roman" w:eastAsia="Times New Roman" w:hAnsi="Times New Roman" w:cs="Times New Roman"/>
          <w:sz w:val="26"/>
          <w:szCs w:val="26"/>
        </w:rPr>
        <w:t xml:space="preserve">, 136 S. Ct. 2243, 2249 (2016) (citing </w:t>
      </w:r>
      <w:r>
        <w:rPr>
          <w:rFonts w:ascii="Times New Roman" w:eastAsia="Times New Roman" w:hAnsi="Times New Roman" w:cs="Times New Roman"/>
          <w:i/>
          <w:sz w:val="26"/>
          <w:szCs w:val="26"/>
        </w:rPr>
        <w:t>Shepard v. United States</w:t>
      </w:r>
      <w:r>
        <w:rPr>
          <w:rFonts w:ascii="Times New Roman" w:eastAsia="Times New Roman" w:hAnsi="Times New Roman" w:cs="Times New Roman"/>
          <w:sz w:val="26"/>
          <w:szCs w:val="26"/>
        </w:rPr>
        <w:t xml:space="preserve">, 544 U.S. 13 (2005)). The Minnesota statute at issue does </w:t>
      </w:r>
      <w:r>
        <w:rPr>
          <w:rFonts w:ascii="Times New Roman" w:eastAsia="Times New Roman" w:hAnsi="Times New Roman" w:cs="Times New Roman"/>
          <w:i/>
          <w:sz w:val="26"/>
          <w:szCs w:val="26"/>
        </w:rPr>
        <w:t xml:space="preserve">not </w:t>
      </w:r>
      <w:r>
        <w:rPr>
          <w:rFonts w:ascii="Times New Roman" w:eastAsia="Times New Roman" w:hAnsi="Times New Roman" w:cs="Times New Roman"/>
          <w:sz w:val="26"/>
          <w:szCs w:val="26"/>
        </w:rPr>
        <w:t xml:space="preserve">require </w:t>
      </w:r>
      <w:r>
        <w:rPr>
          <w:rFonts w:ascii="Times New Roman" w:eastAsia="Times New Roman" w:hAnsi="Times New Roman" w:cs="Times New Roman"/>
          <w:i/>
          <w:sz w:val="26"/>
          <w:szCs w:val="26"/>
        </w:rPr>
        <w:t xml:space="preserve">actual </w:t>
      </w:r>
      <w:r>
        <w:rPr>
          <w:rFonts w:ascii="Times New Roman" w:eastAsia="Times New Roman" w:hAnsi="Times New Roman" w:cs="Times New Roman"/>
          <w:sz w:val="26"/>
          <w:szCs w:val="26"/>
        </w:rPr>
        <w:t xml:space="preserve">use of physical force; it only requires “use </w:t>
      </w:r>
      <w:r>
        <w:rPr>
          <w:rFonts w:ascii="Times New Roman" w:eastAsia="Times New Roman" w:hAnsi="Times New Roman" w:cs="Times New Roman"/>
          <w:i/>
          <w:sz w:val="26"/>
          <w:szCs w:val="26"/>
        </w:rPr>
        <w:t>or</w:t>
      </w:r>
      <w:r>
        <w:rPr>
          <w:rFonts w:ascii="Times New Roman" w:eastAsia="Times New Roman" w:hAnsi="Times New Roman" w:cs="Times New Roman"/>
          <w:sz w:val="26"/>
          <w:szCs w:val="26"/>
        </w:rPr>
        <w:t xml:space="preserve"> threat [of] imminent force against any person . . .” Minn. Stat. § 609.24 (emphasis added). IJ Carr’s decision only reviews the constituent elements of the theft statute, Minn. Stat. § 609.52.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Exh. D, at 16–21. Were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33-month sentence for the robbery conviction removed from the aggregate imprisonment term calculation, he would easily fall short of the Withholding of Removal Eligibility provisions of the INA, 8 U.S.C. § 1231(b)(3)(B)(i) and (iv). Because the IJ did </w:t>
      </w:r>
      <w:r>
        <w:rPr>
          <w:rFonts w:ascii="Times New Roman" w:eastAsia="Times New Roman" w:hAnsi="Times New Roman" w:cs="Times New Roman"/>
          <w:sz w:val="26"/>
          <w:szCs w:val="26"/>
        </w:rPr>
        <w:lastRenderedPageBreak/>
        <w:t xml:space="preserve">not follow the analysis described in </w:t>
      </w:r>
      <w:r>
        <w:rPr>
          <w:rFonts w:ascii="Times New Roman" w:eastAsia="Times New Roman" w:hAnsi="Times New Roman" w:cs="Times New Roman"/>
          <w:i/>
          <w:sz w:val="26"/>
          <w:szCs w:val="26"/>
        </w:rPr>
        <w:t>Mathis</w:t>
      </w:r>
      <w:r>
        <w:rPr>
          <w:rFonts w:ascii="Times New Roman" w:eastAsia="Times New Roman" w:hAnsi="Times New Roman" w:cs="Times New Roman"/>
          <w:sz w:val="26"/>
          <w:szCs w:val="26"/>
        </w:rPr>
        <w:t xml:space="preserv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should succeed in his appeal to the BIA.</w:t>
      </w:r>
      <w:r w:rsidR="003F2A99">
        <w:rPr>
          <w:rFonts w:ascii="Times New Roman" w:eastAsia="Times New Roman" w:hAnsi="Times New Roman" w:cs="Times New Roman"/>
          <w:sz w:val="26"/>
          <w:szCs w:val="26"/>
        </w:rPr>
        <w:t xml:space="preserve"> </w:t>
      </w:r>
      <w:r w:rsidR="00C54975">
        <w:rPr>
          <w:rFonts w:ascii="Times New Roman" w:eastAsia="Times New Roman" w:hAnsi="Times New Roman" w:cs="Times New Roman"/>
          <w:sz w:val="26"/>
          <w:szCs w:val="26"/>
        </w:rPr>
        <w:t>Mr. Petitioner</w:t>
      </w:r>
      <w:r w:rsidR="003F2A99">
        <w:rPr>
          <w:rFonts w:ascii="Times New Roman" w:eastAsia="Times New Roman" w:hAnsi="Times New Roman" w:cs="Times New Roman"/>
          <w:sz w:val="26"/>
          <w:szCs w:val="26"/>
        </w:rPr>
        <w:t xml:space="preserve"> does not ask this Court to pass on the merits of this issue, but his claim is complex and meritorious, and so it is likely to take an extended period to be resolved on appeal to the BIA, and, if necessary thereafter, in any appeals before the federal courts.</w:t>
      </w:r>
    </w:p>
    <w:p w14:paraId="028A0E8C" w14:textId="480A2AF9" w:rsidR="00125048" w:rsidRDefault="006A2A7A">
      <w:pPr>
        <w:spacing w:after="160" w:line="48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47. The procedural posture shows that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is likely facing an extended period of future detention in Kandiyohi County Jail. He will timely appeal to the BIA before the December 8, 2019 deadline, and if the BIA finds in his favor, it will remand the case back to the IJ for reconsideration. IJ Carr issued her written Order about four months after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hearing. Therefore,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is facing several more months of unconstitutional civil detention while his proceedings remain pending.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Exh. E, Affidavit of John Bruning, at 27–32. Of course,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does not ask this Court to decide the substance of his removal proceedings, and it need not do so to appreciate that the government faces a very steep uphill battle.</w:t>
      </w:r>
    </w:p>
    <w:p w14:paraId="055CB7C0" w14:textId="35932A7C" w:rsidR="00125048" w:rsidRDefault="006A2A7A">
      <w:pPr>
        <w:spacing w:after="160" w:line="48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48.</w:t>
      </w:r>
      <w:r>
        <w:rPr>
          <w:rFonts w:ascii="Times New Roman" w:eastAsia="Times New Roman" w:hAnsi="Times New Roman" w:cs="Times New Roman"/>
          <w:sz w:val="26"/>
          <w:szCs w:val="26"/>
        </w:rPr>
        <w:tab/>
        <w:t xml:space="preserve">In sum, without habeas relief, ICE will continue to detain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for several months beyond the already unreasonably prolonged period of months he has already been imprisoned. Moreover,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is not likely to be removed from the United States, which further precludes any legitimate government interest in and justification for detaining him at all, let alone without any bond.</w:t>
      </w:r>
    </w:p>
    <w:p w14:paraId="5101FEA4" w14:textId="4186E12D" w:rsidR="00125048" w:rsidRDefault="006A2A7A">
      <w:pPr>
        <w:spacing w:after="160" w:line="48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49.</w:t>
      </w:r>
      <w:r>
        <w:rPr>
          <w:rFonts w:ascii="Times New Roman" w:eastAsia="Times New Roman" w:hAnsi="Times New Roman" w:cs="Times New Roman"/>
          <w:sz w:val="26"/>
          <w:szCs w:val="26"/>
        </w:rPr>
        <w:tab/>
        <w:t xml:space="preserve">Under the </w:t>
      </w:r>
      <w:r>
        <w:rPr>
          <w:rFonts w:ascii="Times New Roman" w:eastAsia="Times New Roman" w:hAnsi="Times New Roman" w:cs="Times New Roman"/>
          <w:i/>
          <w:sz w:val="26"/>
          <w:szCs w:val="26"/>
        </w:rPr>
        <w:t>Muse</w:t>
      </w:r>
      <w:r>
        <w:rPr>
          <w:rFonts w:ascii="Times New Roman" w:eastAsia="Times New Roman" w:hAnsi="Times New Roman" w:cs="Times New Roman"/>
          <w:sz w:val="26"/>
          <w:szCs w:val="26"/>
        </w:rPr>
        <w:t xml:space="preserve"> framework, four of the six factors weigh sharply in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favor, and two are neutral. </w:t>
      </w:r>
      <w:r>
        <w:rPr>
          <w:rFonts w:ascii="Times New Roman" w:eastAsia="Times New Roman" w:hAnsi="Times New Roman" w:cs="Times New Roman"/>
          <w:i/>
          <w:sz w:val="26"/>
          <w:szCs w:val="26"/>
        </w:rPr>
        <w:t>See Muse</w:t>
      </w:r>
      <w:r>
        <w:rPr>
          <w:rFonts w:ascii="Times New Roman" w:eastAsia="Times New Roman" w:hAnsi="Times New Roman" w:cs="Times New Roman"/>
          <w:sz w:val="26"/>
          <w:szCs w:val="26"/>
        </w:rPr>
        <w:t xml:space="preserve">, 2018 WL 4466052, at *6 (finding </w:t>
      </w:r>
      <w:r>
        <w:rPr>
          <w:rFonts w:ascii="Times New Roman" w:eastAsia="Times New Roman" w:hAnsi="Times New Roman" w:cs="Times New Roman"/>
          <w:sz w:val="26"/>
          <w:szCs w:val="26"/>
        </w:rPr>
        <w:lastRenderedPageBreak/>
        <w:t>detention violates the Petitioner’s due process rights when four factors weigh in his favor, one weighs against him, and one is neutral)</w:t>
      </w:r>
      <w:r w:rsidR="003A2AA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This Court should hold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’s prolonged mandatory detention unreasonable and unconstitutional.</w:t>
      </w:r>
    </w:p>
    <w:p w14:paraId="5492CBC2" w14:textId="4135D38E" w:rsidR="00125048" w:rsidRDefault="00C54975">
      <w:pPr>
        <w:spacing w:after="16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Mr. Petitioner</w:t>
      </w:r>
      <w:r w:rsidR="006A2A7A">
        <w:rPr>
          <w:rFonts w:ascii="Times New Roman" w:eastAsia="Times New Roman" w:hAnsi="Times New Roman" w:cs="Times New Roman"/>
          <w:b/>
          <w:sz w:val="26"/>
          <w:szCs w:val="26"/>
        </w:rPr>
        <w:t>’s Mandatory Detention Is Unconstitutional Because He Has A Substantial Challenge to Removability</w:t>
      </w:r>
    </w:p>
    <w:p w14:paraId="1E9FBB81" w14:textId="0E9926E0" w:rsidR="00125048" w:rsidRDefault="006A2A7A">
      <w:pPr>
        <w:spacing w:after="16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50.</w:t>
      </w:r>
      <w:r>
        <w:rPr>
          <w:rFonts w:ascii="Times New Roman" w:eastAsia="Times New Roman" w:hAnsi="Times New Roman" w:cs="Times New Roman"/>
          <w:sz w:val="26"/>
          <w:szCs w:val="26"/>
        </w:rPr>
        <w:tab/>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prolonged mandatory detention also violates due process because it is unreasonable to impose an irrebuttable presumption of flight risk and danger on a noncitizen who, like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a substantial challenge to removability. In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the Supreme Court upheld the mandatory detention of “a criminal alien who ha[d] conceded that he [was] deportable, for the limited period of his removal proceedings.” 538 U.S. at 511. The Court held that mandatory detention of “deportable criminal aliens” was permissible to address the heightened flight risk and risk to public safety.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at 518 (emphasizing the government’s “near total inability to remove deportable criminal aliens” and that “deportable criminal aliens who remained in the United States often committed more crimes before being removed”). However, </w:t>
      </w:r>
      <w:r>
        <w:rPr>
          <w:rFonts w:ascii="Times New Roman" w:eastAsia="Times New Roman" w:hAnsi="Times New Roman" w:cs="Times New Roman"/>
          <w:i/>
          <w:sz w:val="26"/>
          <w:szCs w:val="26"/>
        </w:rPr>
        <w:t xml:space="preserve">Demore </w:t>
      </w:r>
      <w:r>
        <w:rPr>
          <w:rFonts w:ascii="Times New Roman" w:eastAsia="Times New Roman" w:hAnsi="Times New Roman" w:cs="Times New Roman"/>
          <w:sz w:val="26"/>
          <w:szCs w:val="26"/>
        </w:rPr>
        <w:t>left open the question of whether mandatory detention of a noncitizen violates due process if they have a substantial challenge to their removability.</w:t>
      </w:r>
    </w:p>
    <w:p w14:paraId="70E8F829" w14:textId="77777777" w:rsidR="00125048" w:rsidRDefault="006A2A7A">
      <w:pPr>
        <w:spacing w:after="16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51.</w:t>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Immigrants who raise substantial challenges to removability are, unlike the petitioner in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neither “already subject to deportation,”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nor at risk of “fail[ing] to appear for their removal hearings,” </w:t>
      </w:r>
      <w:r>
        <w:rPr>
          <w:rFonts w:ascii="Times New Roman" w:eastAsia="Times New Roman" w:hAnsi="Times New Roman" w:cs="Times New Roman"/>
          <w:i/>
          <w:sz w:val="26"/>
          <w:szCs w:val="26"/>
        </w:rPr>
        <w:t xml:space="preserve">id. </w:t>
      </w:r>
      <w:r>
        <w:rPr>
          <w:rFonts w:ascii="Times New Roman" w:eastAsia="Times New Roman" w:hAnsi="Times New Roman" w:cs="Times New Roman"/>
          <w:sz w:val="26"/>
          <w:szCs w:val="26"/>
        </w:rPr>
        <w:t xml:space="preserve">at 519. On the contrary, they have strong incentives to appear at their proceedings and litigate those defenses. </w:t>
      </w:r>
      <w:r>
        <w:rPr>
          <w:rFonts w:ascii="Times New Roman" w:eastAsia="Times New Roman" w:hAnsi="Times New Roman" w:cs="Times New Roman"/>
          <w:i/>
          <w:sz w:val="26"/>
          <w:szCs w:val="26"/>
        </w:rPr>
        <w:t>See Zadvydas</w:t>
      </w:r>
      <w:r>
        <w:rPr>
          <w:rFonts w:ascii="Times New Roman" w:eastAsia="Times New Roman" w:hAnsi="Times New Roman" w:cs="Times New Roman"/>
          <w:sz w:val="26"/>
          <w:szCs w:val="26"/>
        </w:rPr>
        <w:t xml:space="preserve">, 533 U.S. at 690 (calling the “justification” of “preventing flight” “weak or nonexistent where </w:t>
      </w:r>
      <w:r>
        <w:rPr>
          <w:rFonts w:ascii="Times New Roman" w:eastAsia="Times New Roman" w:hAnsi="Times New Roman" w:cs="Times New Roman"/>
          <w:sz w:val="26"/>
          <w:szCs w:val="26"/>
        </w:rPr>
        <w:lastRenderedPageBreak/>
        <w:t xml:space="preserve">removal seems a remote possibility at best”). Nor is the mandatory detention of individuals with substantial challenges to removability reasonably related to Congress’s goal of “protecting the public from dangerous criminal aliens.”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538 U.S. at 515. By enacting statutory forms of relief and protection such as asylum, cancellation of removal, and adjustment of status, Congress allowed qualified individuals convicted of less serious offenses the opportunity to reside permanently in the United States.</w:t>
      </w:r>
      <w:r>
        <w:rPr>
          <w:rFonts w:ascii="Times New Roman" w:eastAsia="Times New Roman" w:hAnsi="Times New Roman" w:cs="Times New Roman"/>
          <w:sz w:val="26"/>
          <w:szCs w:val="26"/>
          <w:vertAlign w:val="superscript"/>
        </w:rPr>
        <w:footnoteReference w:id="4"/>
      </w:r>
      <w:r>
        <w:rPr>
          <w:rFonts w:ascii="Times New Roman" w:eastAsia="Times New Roman" w:hAnsi="Times New Roman" w:cs="Times New Roman"/>
          <w:sz w:val="26"/>
          <w:szCs w:val="26"/>
        </w:rPr>
        <w:t xml:space="preserve"> If Congress had viewed those individuals as presenting such a heightened danger to the public as to require their mandatory detention, it would not have made them eligible for permanent relief from removal. </w:t>
      </w:r>
      <w:r w:rsidRPr="003A2AA8">
        <w:rPr>
          <w:rFonts w:ascii="Times New Roman" w:eastAsia="Times New Roman" w:hAnsi="Times New Roman" w:cs="Times New Roman"/>
          <w:i/>
          <w:sz w:val="26"/>
          <w:szCs w:val="26"/>
        </w:rPr>
        <w:t>See, e.g.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Papazoglou v. Napolitano</w:t>
      </w:r>
      <w:r>
        <w:rPr>
          <w:rFonts w:ascii="Times New Roman" w:eastAsia="Times New Roman" w:hAnsi="Times New Roman" w:cs="Times New Roman"/>
          <w:sz w:val="26"/>
          <w:szCs w:val="26"/>
        </w:rPr>
        <w:t xml:space="preserve">, No. 1:12-cv-00892, 2012 WL 1570778, at *5 (N.D. Ill. May 03, 2012) (holding mandatory detention violated due process where IJ had granted lawful permanent resident a new adjustment allowing him to retain this status </w:t>
      </w:r>
      <w:r w:rsidR="00133E5C">
        <w:rPr>
          <w:rFonts w:ascii="Times New Roman" w:eastAsia="Times New Roman" w:hAnsi="Times New Roman" w:cs="Times New Roman"/>
          <w:sz w:val="26"/>
          <w:szCs w:val="26"/>
        </w:rPr>
        <w:t xml:space="preserve">in the </w:t>
      </w:r>
      <w:r>
        <w:rPr>
          <w:rFonts w:ascii="Times New Roman" w:eastAsia="Times New Roman" w:hAnsi="Times New Roman" w:cs="Times New Roman"/>
          <w:sz w:val="26"/>
          <w:szCs w:val="26"/>
        </w:rPr>
        <w:t xml:space="preserve">United States). Therefore, in contrast to the detention in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w:t>
      </w:r>
      <w:r>
        <w:rPr>
          <w:rFonts w:ascii="Times New Roman" w:eastAsia="Times New Roman" w:hAnsi="Times New Roman" w:cs="Times New Roman"/>
          <w:sz w:val="26"/>
          <w:szCs w:val="26"/>
          <w:vertAlign w:val="superscript"/>
        </w:rPr>
        <w:footnoteReference w:id="5"/>
      </w:r>
      <w:r>
        <w:rPr>
          <w:rFonts w:ascii="Times New Roman" w:eastAsia="Times New Roman" w:hAnsi="Times New Roman" w:cs="Times New Roman"/>
          <w:sz w:val="26"/>
          <w:szCs w:val="26"/>
        </w:rPr>
        <w:t xml:space="preserve"> it is unreasonable to impose an irrebuttable presumption that noncitizens with </w:t>
      </w:r>
      <w:r>
        <w:rPr>
          <w:rFonts w:ascii="Times New Roman" w:eastAsia="Times New Roman" w:hAnsi="Times New Roman" w:cs="Times New Roman"/>
          <w:sz w:val="26"/>
          <w:szCs w:val="26"/>
        </w:rPr>
        <w:lastRenderedPageBreak/>
        <w:t>substantial arguments against deportability categorically present a heightened flight risk or threat to public safety such that they require mandatory detention without an opportunity for bond.</w:t>
      </w:r>
    </w:p>
    <w:p w14:paraId="348534DB" w14:textId="6B0703CF" w:rsidR="00125048" w:rsidRDefault="006A2A7A">
      <w:pPr>
        <w:spacing w:after="16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t xml:space="preserve">Here,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presents compelling arguments why the BIA will reverse the November 8, 2019 Order of the Immigration Judge. Accordingly,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no incentive to flee anywhere. At the very least, a neutral arbiter should be required to make an individualized determination as to his danger and flight risk.</w:t>
      </w:r>
    </w:p>
    <w:p w14:paraId="7549880D" w14:textId="77777777" w:rsidR="00125048" w:rsidRDefault="006A2A7A">
      <w:pPr>
        <w:spacing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Burden of Proof on Standards for Bond</w:t>
      </w:r>
    </w:p>
    <w:p w14:paraId="20F55A67" w14:textId="4C6BE120" w:rsidR="00125048" w:rsidRDefault="006A2A7A">
      <w:pPr>
        <w:spacing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53.</w:t>
      </w:r>
      <w:r>
        <w:rPr>
          <w:rFonts w:ascii="Times New Roman" w:eastAsia="Times New Roman" w:hAnsi="Times New Roman" w:cs="Times New Roman"/>
          <w:sz w:val="26"/>
          <w:szCs w:val="26"/>
        </w:rPr>
        <w:tab/>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asks this Court to order his immediate release. However, if this Court were to determine that it would be more proper for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to be granted an immediate bond hearing, either before this court or before an IJ, procedural due process should require that the government bear the burden of proving by clear and convincing evidence that the government’s interest in continuing to detain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—taking into consideration available alternatives to detention—outweighs the severe deprivation of his constitutionally protected interest in liberty. </w:t>
      </w:r>
      <w:r>
        <w:rPr>
          <w:rFonts w:ascii="Times New Roman" w:eastAsia="Times New Roman" w:hAnsi="Times New Roman" w:cs="Times New Roman"/>
          <w:i/>
          <w:sz w:val="26"/>
          <w:szCs w:val="26"/>
        </w:rPr>
        <w:t>See</w:t>
      </w:r>
      <w:r w:rsidRPr="003A2AA8">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e.g.</w:t>
      </w: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 Jarpa v. Mumford</w:t>
      </w:r>
      <w:r>
        <w:rPr>
          <w:rFonts w:ascii="Times New Roman" w:eastAsia="Times New Roman" w:hAnsi="Times New Roman" w:cs="Times New Roman"/>
          <w:sz w:val="26"/>
          <w:szCs w:val="26"/>
        </w:rPr>
        <w:t>, 211 F.</w:t>
      </w:r>
      <w:r w:rsidR="00133E5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Supp.</w:t>
      </w:r>
      <w:r w:rsidR="00133E5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3d 706, 720-23 (D. Md. 2016).</w:t>
      </w:r>
    </w:p>
    <w:p w14:paraId="7F99E8AC" w14:textId="1252325D" w:rsidR="00125048" w:rsidRDefault="006A2A7A">
      <w:pPr>
        <w:spacing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54.</w:t>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To justify prolonged immigration detention, the government must prove by clear and convincing evidence that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is a danger or flight risk. </w:t>
      </w:r>
      <w:r>
        <w:rPr>
          <w:rFonts w:ascii="Times New Roman" w:eastAsia="Times New Roman" w:hAnsi="Times New Roman" w:cs="Times New Roman"/>
          <w:i/>
          <w:sz w:val="26"/>
          <w:szCs w:val="26"/>
        </w:rPr>
        <w:t>See, e.g.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id</w:t>
      </w:r>
      <w:r w:rsidRPr="003A2AA8">
        <w:rPr>
          <w:rFonts w:ascii="Times New Roman" w:eastAsia="Times New Roman" w:hAnsi="Times New Roman" w:cs="Times New Roman"/>
          <w:i/>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 Hernandez v. Decker</w:t>
      </w:r>
      <w:r>
        <w:rPr>
          <w:rFonts w:ascii="Times New Roman" w:eastAsia="Times New Roman" w:hAnsi="Times New Roman" w:cs="Times New Roman"/>
          <w:sz w:val="26"/>
          <w:szCs w:val="26"/>
        </w:rPr>
        <w:t xml:space="preserve">, No. 18-CV-5026 (ALC), 2018 WL 3579108, at *11 (S.D.N.Y. July 15, 2018) (“[D]ue process requires that the government demonstrate dangerousness or risk of flight by a clear and convincing standard at [the alien’s] bond hearing.”); </w:t>
      </w:r>
      <w:r>
        <w:rPr>
          <w:rFonts w:ascii="Times New Roman" w:eastAsia="Times New Roman" w:hAnsi="Times New Roman" w:cs="Times New Roman"/>
          <w:i/>
          <w:sz w:val="26"/>
          <w:szCs w:val="26"/>
        </w:rPr>
        <w:t>Portillo</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lastRenderedPageBreak/>
        <w:t xml:space="preserve">322 F. Supp. 3d at 709 (“[A]t the bond hearing, the government must demonstrate that [the alien] is either a flight risk or a danger to the community by clear and convincing evidence.”); </w:t>
      </w:r>
      <w:r>
        <w:rPr>
          <w:rFonts w:ascii="Times New Roman" w:eastAsia="Times New Roman" w:hAnsi="Times New Roman" w:cs="Times New Roman"/>
          <w:i/>
          <w:sz w:val="26"/>
          <w:szCs w:val="26"/>
        </w:rPr>
        <w:t>Sajous</w:t>
      </w:r>
      <w:r>
        <w:rPr>
          <w:rFonts w:ascii="Times New Roman" w:eastAsia="Times New Roman" w:hAnsi="Times New Roman" w:cs="Times New Roman"/>
          <w:sz w:val="26"/>
          <w:szCs w:val="26"/>
        </w:rPr>
        <w:t xml:space="preserve">, 2018 WL 2357266 (requiring government to prove dangerousness and flight risk by clear and convincing evidence); </w:t>
      </w:r>
      <w:r>
        <w:rPr>
          <w:rFonts w:ascii="Times New Roman" w:eastAsia="Times New Roman" w:hAnsi="Times New Roman" w:cs="Times New Roman"/>
          <w:i/>
          <w:sz w:val="26"/>
          <w:szCs w:val="26"/>
        </w:rPr>
        <w:t>Pensamiento v. McDonald</w:t>
      </w:r>
      <w:r>
        <w:rPr>
          <w:rFonts w:ascii="Times New Roman" w:eastAsia="Times New Roman" w:hAnsi="Times New Roman" w:cs="Times New Roman"/>
          <w:sz w:val="26"/>
          <w:szCs w:val="26"/>
        </w:rPr>
        <w:t xml:space="preserve">, 315 F. Supp. 3d 684 (D. Mass. 2018) (requiring government to prove dangerousness and flight risk); </w:t>
      </w:r>
      <w:r>
        <w:rPr>
          <w:rFonts w:ascii="Times New Roman" w:eastAsia="Times New Roman" w:hAnsi="Times New Roman" w:cs="Times New Roman"/>
          <w:i/>
          <w:sz w:val="26"/>
          <w:szCs w:val="26"/>
        </w:rPr>
        <w:t>see also Foucha</w:t>
      </w:r>
      <w:r>
        <w:rPr>
          <w:rFonts w:ascii="Times New Roman" w:eastAsia="Times New Roman" w:hAnsi="Times New Roman" w:cs="Times New Roman"/>
          <w:sz w:val="26"/>
          <w:szCs w:val="26"/>
        </w:rPr>
        <w:t xml:space="preserve">, 504 U.S. at 81–83 (1992) (striking down detention system that placed burden on detainee to prove non-dangerousness); </w:t>
      </w:r>
      <w:r>
        <w:rPr>
          <w:rFonts w:ascii="Times New Roman" w:eastAsia="Times New Roman" w:hAnsi="Times New Roman" w:cs="Times New Roman"/>
          <w:i/>
          <w:sz w:val="26"/>
          <w:szCs w:val="26"/>
        </w:rPr>
        <w:t>United States v. Salerno</w:t>
      </w:r>
      <w:r>
        <w:rPr>
          <w:rFonts w:ascii="Times New Roman" w:eastAsia="Times New Roman" w:hAnsi="Times New Roman" w:cs="Times New Roman"/>
          <w:sz w:val="26"/>
          <w:szCs w:val="26"/>
        </w:rPr>
        <w:t xml:space="preserve">, 481 U.S. 739, 750–52 (1987) (requiring proof of dangerousness by clear and convincing evidence). </w:t>
      </w:r>
    </w:p>
    <w:p w14:paraId="4E8004B8" w14:textId="4AA77F82" w:rsidR="00125048" w:rsidRDefault="006A2A7A">
      <w:pPr>
        <w:spacing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55.</w:t>
      </w:r>
      <w:r>
        <w:rPr>
          <w:rFonts w:ascii="Times New Roman" w:eastAsia="Times New Roman" w:hAnsi="Times New Roman" w:cs="Times New Roman"/>
          <w:sz w:val="26"/>
          <w:szCs w:val="26"/>
        </w:rPr>
        <w:tab/>
        <w:t xml:space="preserve">The requirement that the government bear the burden of proof by clear and convincing evidence is also supported by application of the three-factor balancing test from </w:t>
      </w:r>
      <w:r>
        <w:rPr>
          <w:rFonts w:ascii="Times New Roman" w:eastAsia="Times New Roman" w:hAnsi="Times New Roman" w:cs="Times New Roman"/>
          <w:i/>
          <w:sz w:val="26"/>
          <w:szCs w:val="26"/>
        </w:rPr>
        <w:t>Mathews v. Eldridge</w:t>
      </w:r>
      <w:r>
        <w:rPr>
          <w:rFonts w:ascii="Times New Roman" w:eastAsia="Times New Roman" w:hAnsi="Times New Roman" w:cs="Times New Roman"/>
          <w:sz w:val="26"/>
          <w:szCs w:val="26"/>
        </w:rPr>
        <w:t xml:space="preserve">, 424 U.S. 319, 335 (1976). First, the civil detention authorized by Section 1226(c) deprives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of his liberty interest. Second, the risk of error is great when detainees like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are incarcerated in prison-like conditions that severely hamper their ability to gather evidence and prepare for a bond hearing. Third, placing the burden on the government imposes minimal cost or inconvenience, as the government has access to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immigration records and other information that it can use to make its case for continued detention. Therefore, subjecting the government to a heightened burden of proof strikes an appropriate balance between that individual interest and the government’s interest in protecting the community and in effective removal procedures, affording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the fundamental requirement of due process rights. </w:t>
      </w:r>
    </w:p>
    <w:p w14:paraId="2041F8F6" w14:textId="5F225A89" w:rsidR="00125048" w:rsidRDefault="006A2A7A">
      <w:pPr>
        <w:spacing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56.</w:t>
      </w:r>
      <w:r>
        <w:rPr>
          <w:rFonts w:ascii="Times New Roman" w:eastAsia="Times New Roman" w:hAnsi="Times New Roman" w:cs="Times New Roman"/>
          <w:sz w:val="26"/>
          <w:szCs w:val="26"/>
        </w:rPr>
        <w:tab/>
        <w:t xml:space="preserve">Due process also requires consideration of alternatives to detention. The primary purpose of immigration detention is to ensure a noncitizen’s appearance during removal proceedings. </w:t>
      </w:r>
      <w:r>
        <w:rPr>
          <w:rFonts w:ascii="Times New Roman" w:eastAsia="Times New Roman" w:hAnsi="Times New Roman" w:cs="Times New Roman"/>
          <w:i/>
          <w:sz w:val="26"/>
          <w:szCs w:val="26"/>
        </w:rPr>
        <w:t>Zadvydas</w:t>
      </w:r>
      <w:r>
        <w:rPr>
          <w:rFonts w:ascii="Times New Roman" w:eastAsia="Times New Roman" w:hAnsi="Times New Roman" w:cs="Times New Roman"/>
          <w:sz w:val="26"/>
          <w:szCs w:val="26"/>
        </w:rPr>
        <w:t xml:space="preserve">, 533 U.S. at 697. Detention is not reasonably related to this purpose if there are alternative conditions of release that could mitigate risk of flight. </w:t>
      </w:r>
      <w:r w:rsidRPr="003A2AA8">
        <w:rPr>
          <w:rFonts w:ascii="Times New Roman" w:eastAsia="Times New Roman" w:hAnsi="Times New Roman" w:cs="Times New Roman"/>
          <w:i/>
          <w:sz w:val="26"/>
          <w:szCs w:val="26"/>
        </w:rPr>
        <w:t>See</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Bell v. Wolfish</w:t>
      </w:r>
      <w:r>
        <w:rPr>
          <w:rFonts w:ascii="Times New Roman" w:eastAsia="Times New Roman" w:hAnsi="Times New Roman" w:cs="Times New Roman"/>
          <w:sz w:val="26"/>
          <w:szCs w:val="26"/>
        </w:rPr>
        <w:t xml:space="preserve">, 441 U.S. 520, 538 (1979). ICE’s alternative to detention program—the Intensive Supervision Appearance Program—has achieved extraordinary success in ensuring appearance at removal proceedings, reaching compliance rates close to 100 percent. </w:t>
      </w:r>
      <w:r>
        <w:rPr>
          <w:rFonts w:ascii="Times New Roman" w:eastAsia="Times New Roman" w:hAnsi="Times New Roman" w:cs="Times New Roman"/>
          <w:i/>
          <w:sz w:val="26"/>
          <w:szCs w:val="26"/>
        </w:rPr>
        <w:t>Hernandez v. Sessions</w:t>
      </w:r>
      <w:r>
        <w:rPr>
          <w:rFonts w:ascii="Times New Roman" w:eastAsia="Times New Roman" w:hAnsi="Times New Roman" w:cs="Times New Roman"/>
          <w:sz w:val="26"/>
          <w:szCs w:val="26"/>
        </w:rPr>
        <w:t>, 872 F.3d 976, 991 (9th Cir. 2017) (observing that ISAP “resulted in a 99% attendance rate at all EOIR hearings and a 95% attendance rate at final hearings”). It follows that alternatives to detention must be considered in determining whether prolonged incarceration is warranted.</w:t>
      </w:r>
    </w:p>
    <w:p w14:paraId="1DF8C159" w14:textId="77777777" w:rsidR="00125048" w:rsidRDefault="006A2A7A">
      <w:pPr>
        <w:spacing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CAUSES OF ACTION</w:t>
      </w:r>
    </w:p>
    <w:p w14:paraId="6B1E2DD9" w14:textId="48EE7EA4" w:rsidR="00125048" w:rsidRDefault="006A2A7A">
      <w:pPr>
        <w:spacing w:after="160" w:line="24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COUNT ONE: </w:t>
      </w:r>
      <w:r w:rsidR="00C54975">
        <w:rPr>
          <w:rFonts w:ascii="Times New Roman" w:eastAsia="Times New Roman" w:hAnsi="Times New Roman" w:cs="Times New Roman"/>
          <w:b/>
          <w:sz w:val="26"/>
          <w:szCs w:val="26"/>
        </w:rPr>
        <w:t>MR. PETITIONER</w:t>
      </w:r>
      <w:r w:rsidR="0022613C">
        <w:rPr>
          <w:rFonts w:ascii="Times New Roman" w:eastAsia="Times New Roman" w:hAnsi="Times New Roman" w:cs="Times New Roman"/>
          <w:b/>
          <w:sz w:val="26"/>
          <w:szCs w:val="26"/>
        </w:rPr>
        <w:t xml:space="preserve">’S </w:t>
      </w:r>
      <w:r>
        <w:rPr>
          <w:rFonts w:ascii="Times New Roman" w:eastAsia="Times New Roman" w:hAnsi="Times New Roman" w:cs="Times New Roman"/>
          <w:b/>
          <w:sz w:val="26"/>
          <w:szCs w:val="26"/>
        </w:rPr>
        <w:t>MANDATORY DETENTION VIOLATES THE DUE PROCESS CLAUSE OF THE FIFTH AMENDMENT</w:t>
      </w:r>
    </w:p>
    <w:p w14:paraId="7FD1D8B6" w14:textId="5FD98E24" w:rsidR="00125048" w:rsidRDefault="006A2A7A">
      <w:pPr>
        <w:spacing w:after="16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57.</w:t>
      </w:r>
      <w:r>
        <w:rPr>
          <w:rFonts w:ascii="Times New Roman" w:eastAsia="Times New Roman" w:hAnsi="Times New Roman" w:cs="Times New Roman"/>
          <w:sz w:val="26"/>
          <w:szCs w:val="26"/>
        </w:rPr>
        <w:tab/>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re-alleges and incorporates by reference each and every allegation contained in the preceding paragraphs as if fully set forth herein.</w:t>
      </w:r>
    </w:p>
    <w:p w14:paraId="3073BA20" w14:textId="77777777" w:rsidR="00125048" w:rsidRDefault="006A2A7A">
      <w:pPr>
        <w:spacing w:after="16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58.</w:t>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Immigration detention violates due process unless such detention is reasonably related to its purpose.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538 U.S. at 513 (2003); </w:t>
      </w:r>
      <w:r>
        <w:rPr>
          <w:rFonts w:ascii="Times New Roman" w:eastAsia="Times New Roman" w:hAnsi="Times New Roman" w:cs="Times New Roman"/>
          <w:i/>
          <w:sz w:val="26"/>
          <w:szCs w:val="26"/>
        </w:rPr>
        <w:t>Zadvydas</w:t>
      </w:r>
      <w:r>
        <w:rPr>
          <w:rFonts w:ascii="Times New Roman" w:eastAsia="Times New Roman" w:hAnsi="Times New Roman" w:cs="Times New Roman"/>
          <w:sz w:val="26"/>
          <w:szCs w:val="26"/>
        </w:rPr>
        <w:t xml:space="preserve">, 533 U.S. at 690–91 (2001). Moreover, as detention becomes prolonged, the Due Process Clause requires an even stronger justification to outweigh the significant deprivation of liberty, as well as strong procedural protections.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w:t>
      </w:r>
    </w:p>
    <w:p w14:paraId="62B828C7" w14:textId="7D5FB4CE" w:rsidR="00125048" w:rsidRDefault="006A2A7A">
      <w:pPr>
        <w:spacing w:after="16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59.</w:t>
      </w:r>
      <w:r>
        <w:rPr>
          <w:rFonts w:ascii="Times New Roman" w:eastAsia="Times New Roman" w:hAnsi="Times New Roman" w:cs="Times New Roman"/>
          <w:sz w:val="26"/>
          <w:szCs w:val="26"/>
        </w:rPr>
        <w:tab/>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been detained pursuant to 8 U.S.C. § 1226(c) for over eleven months.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prolonged detention, in the absence of an individualized determination of his dangerousness or flight risk, lacks sufficient justification and violates his due process rights. This Court has considered six factors to determine whether prolonged pre-final order detention is unreasonable. </w:t>
      </w:r>
      <w:r>
        <w:rPr>
          <w:rFonts w:ascii="Times New Roman" w:eastAsia="Times New Roman" w:hAnsi="Times New Roman" w:cs="Times New Roman"/>
          <w:i/>
          <w:sz w:val="26"/>
          <w:szCs w:val="26"/>
        </w:rPr>
        <w:t>See</w:t>
      </w:r>
      <w:r w:rsidR="0022613C">
        <w:rPr>
          <w:rFonts w:ascii="Times New Roman" w:eastAsia="Times New Roman" w:hAnsi="Times New Roman" w:cs="Times New Roman"/>
          <w:i/>
          <w:sz w:val="26"/>
          <w:szCs w:val="26"/>
        </w:rPr>
        <w:t>, e.g.</w:t>
      </w:r>
      <w:r w:rsidR="0022613C">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 Muse</w:t>
      </w:r>
      <w:r>
        <w:rPr>
          <w:rFonts w:ascii="Times New Roman" w:eastAsia="Times New Roman" w:hAnsi="Times New Roman" w:cs="Times New Roman"/>
          <w:sz w:val="26"/>
          <w:szCs w:val="26"/>
        </w:rPr>
        <w:t xml:space="preserve">, 2018 WL 4466052, at *5. Application of the relevant factors to the facts and circumstances in this case—four factors weighing in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favor and two favoring neither party—supports a conclusion that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’s continued detention without an individualized bond hearing violates due process under the Fifth Amendment.</w:t>
      </w:r>
    </w:p>
    <w:p w14:paraId="4E013B40" w14:textId="14CB6CFA" w:rsidR="00125048" w:rsidRDefault="006A2A7A">
      <w:pPr>
        <w:spacing w:after="16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60.</w:t>
      </w:r>
      <w:r>
        <w:rPr>
          <w:rFonts w:ascii="Times New Roman" w:eastAsia="Times New Roman" w:hAnsi="Times New Roman" w:cs="Times New Roman"/>
          <w:sz w:val="26"/>
          <w:szCs w:val="26"/>
        </w:rPr>
        <w:tab/>
        <w:t xml:space="preserve">Moreover,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a substantial argument against removal. Therefore, the assumption underlying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that noncitizens who have conceded deportability uniformly present elevated risk of flight and danger does not apply here.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cannot reasonably be subject to an irrebuttable presumption of flight risk and danger necessitating mandatory detention.</w:t>
      </w:r>
    </w:p>
    <w:p w14:paraId="204AE1BD" w14:textId="31F03914" w:rsidR="00125048" w:rsidRDefault="006A2A7A">
      <w:pPr>
        <w:spacing w:after="16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61.</w:t>
      </w:r>
      <w:r>
        <w:rPr>
          <w:rFonts w:ascii="Times New Roman" w:eastAsia="Times New Roman" w:hAnsi="Times New Roman" w:cs="Times New Roman"/>
          <w:sz w:val="26"/>
          <w:szCs w:val="26"/>
        </w:rPr>
        <w:tab/>
        <w:t xml:space="preserve">For the foregoing reasons, only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immediate release or an immediate bond hearing at which the government bears the burden to prove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’s danger and flight risk will protect his due process rights and the government’s legitimate interest in detaining a removable alien only when it is necessary to serve the purposes of Section 1226(c).</w:t>
      </w:r>
    </w:p>
    <w:p w14:paraId="73C2E12E" w14:textId="5CB281E8" w:rsidR="00125048" w:rsidRDefault="006A2A7A">
      <w:pPr>
        <w:spacing w:line="240" w:lineRule="auto"/>
        <w:ind w:left="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COUNT TWO: </w:t>
      </w:r>
      <w:r w:rsidR="00C54975">
        <w:rPr>
          <w:rFonts w:ascii="Times New Roman" w:eastAsia="Times New Roman" w:hAnsi="Times New Roman" w:cs="Times New Roman"/>
          <w:b/>
          <w:sz w:val="26"/>
          <w:szCs w:val="26"/>
        </w:rPr>
        <w:t>MR. PETITIONER</w:t>
      </w:r>
      <w:r>
        <w:rPr>
          <w:rFonts w:ascii="Times New Roman" w:eastAsia="Times New Roman" w:hAnsi="Times New Roman" w:cs="Times New Roman"/>
          <w:b/>
          <w:sz w:val="26"/>
          <w:szCs w:val="26"/>
        </w:rPr>
        <w:t>’S PROLONGED DETENTION VIOLATES THE EIGHTH AMENDMENT</w:t>
      </w:r>
    </w:p>
    <w:p w14:paraId="16459388" w14:textId="77777777" w:rsidR="00125048" w:rsidRDefault="00125048">
      <w:pPr>
        <w:spacing w:after="160" w:line="240" w:lineRule="auto"/>
        <w:ind w:left="720"/>
        <w:jc w:val="center"/>
        <w:rPr>
          <w:rFonts w:ascii="Times New Roman" w:eastAsia="Times New Roman" w:hAnsi="Times New Roman" w:cs="Times New Roman"/>
          <w:b/>
          <w:sz w:val="26"/>
          <w:szCs w:val="26"/>
        </w:rPr>
      </w:pPr>
    </w:p>
    <w:p w14:paraId="06397897" w14:textId="6063A155" w:rsidR="00125048" w:rsidRDefault="006A2A7A">
      <w:pPr>
        <w:spacing w:after="16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62.</w:t>
      </w:r>
      <w:r>
        <w:rPr>
          <w:rFonts w:ascii="Times New Roman" w:eastAsia="Times New Roman" w:hAnsi="Times New Roman" w:cs="Times New Roman"/>
          <w:sz w:val="26"/>
          <w:szCs w:val="26"/>
        </w:rPr>
        <w:tab/>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re-alleges and incorporates by reference each and every allegation contained in the preceding paragraphs as if fully set forth herein.</w:t>
      </w:r>
    </w:p>
    <w:p w14:paraId="65D3E476" w14:textId="77777777" w:rsidR="00125048" w:rsidRDefault="006A2A7A">
      <w:pPr>
        <w:spacing w:after="16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63.</w:t>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The Eighth Amendment prohibits “[e]xcessive bail.” U.S. Const. amend. VIII. </w:t>
      </w:r>
    </w:p>
    <w:p w14:paraId="0CF07822" w14:textId="77777777" w:rsidR="00125048" w:rsidRDefault="006A2A7A">
      <w:pPr>
        <w:spacing w:after="16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64.</w:t>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The government’s categorical denial of bail to certain noncitizens violates the right to bail encompassed by the Eighth Amendment. </w:t>
      </w:r>
      <w:r>
        <w:rPr>
          <w:rFonts w:ascii="Times New Roman" w:eastAsia="Times New Roman" w:hAnsi="Times New Roman" w:cs="Times New Roman"/>
          <w:i/>
          <w:sz w:val="26"/>
          <w:szCs w:val="26"/>
        </w:rPr>
        <w:t>See Jennings</w:t>
      </w:r>
      <w:r>
        <w:rPr>
          <w:rFonts w:ascii="Times New Roman" w:eastAsia="Times New Roman" w:hAnsi="Times New Roman" w:cs="Times New Roman"/>
          <w:sz w:val="26"/>
          <w:szCs w:val="26"/>
        </w:rPr>
        <w:t>, 138 S.</w:t>
      </w:r>
      <w:r w:rsidR="0022613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Ct. at 862 (Breyer, J., dissenting).</w:t>
      </w:r>
    </w:p>
    <w:p w14:paraId="003D6E19" w14:textId="1E2F8497" w:rsidR="00125048" w:rsidRDefault="006A2A7A">
      <w:pPr>
        <w:spacing w:after="16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65.</w:t>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For these reasons,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’s ongoing prolonged detention without a bond hearing violates the Eighth Amendment.</w:t>
      </w:r>
    </w:p>
    <w:p w14:paraId="4FB55BF8" w14:textId="77777777" w:rsidR="00125048" w:rsidRDefault="006A2A7A">
      <w:pPr>
        <w:spacing w:line="480" w:lineRule="auto"/>
        <w:ind w:firstLine="720"/>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PRAYER FOR RELIEF</w:t>
      </w:r>
    </w:p>
    <w:p w14:paraId="7B961D59" w14:textId="78E1D089" w:rsidR="00125048" w:rsidRDefault="006A2A7A">
      <w:pPr>
        <w:spacing w:line="48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WHEREFORE, </w:t>
      </w:r>
      <w:r w:rsidR="00C54975">
        <w:rPr>
          <w:rFonts w:ascii="Times New Roman" w:eastAsia="Times New Roman" w:hAnsi="Times New Roman" w:cs="Times New Roman"/>
          <w:sz w:val="26"/>
          <w:szCs w:val="26"/>
        </w:rPr>
        <w:t>Petitioner</w:t>
      </w:r>
      <w:r>
        <w:rPr>
          <w:rFonts w:ascii="Times New Roman" w:eastAsia="Times New Roman" w:hAnsi="Times New Roman" w:cs="Times New Roman"/>
          <w:sz w:val="26"/>
          <w:szCs w:val="26"/>
        </w:rPr>
        <w:t xml:space="preserve"> prays that this Court grant the following relief:</w:t>
      </w:r>
    </w:p>
    <w:p w14:paraId="48F0C8E8" w14:textId="77777777" w:rsidR="00125048" w:rsidRDefault="006A2A7A" w:rsidP="0022613C">
      <w:pPr>
        <w:numPr>
          <w:ilvl w:val="0"/>
          <w:numId w:val="1"/>
        </w:numPr>
        <w:spacing w:line="480" w:lineRule="auto"/>
        <w:rPr>
          <w:sz w:val="26"/>
          <w:szCs w:val="26"/>
        </w:rPr>
      </w:pPr>
      <w:r>
        <w:rPr>
          <w:rFonts w:ascii="Times New Roman" w:eastAsia="Times New Roman" w:hAnsi="Times New Roman" w:cs="Times New Roman"/>
          <w:sz w:val="26"/>
          <w:szCs w:val="26"/>
        </w:rPr>
        <w:t xml:space="preserve">Assume jurisdiction over this matter; </w:t>
      </w:r>
    </w:p>
    <w:p w14:paraId="58584392" w14:textId="77777777" w:rsidR="00125048" w:rsidRDefault="006A2A7A" w:rsidP="0022613C">
      <w:pPr>
        <w:numPr>
          <w:ilvl w:val="0"/>
          <w:numId w:val="1"/>
        </w:numPr>
        <w:spacing w:line="480" w:lineRule="auto"/>
        <w:rPr>
          <w:sz w:val="26"/>
          <w:szCs w:val="26"/>
        </w:rPr>
      </w:pPr>
      <w:r>
        <w:rPr>
          <w:rFonts w:ascii="Times New Roman" w:eastAsia="Times New Roman" w:hAnsi="Times New Roman" w:cs="Times New Roman"/>
          <w:sz w:val="26"/>
          <w:szCs w:val="26"/>
        </w:rPr>
        <w:t>Expedite consideration of this petition pursuant to 28 U.S.C. §§ 1657 and 2243;</w:t>
      </w:r>
    </w:p>
    <w:p w14:paraId="4D252955" w14:textId="77777777" w:rsidR="00125048" w:rsidRDefault="006A2A7A" w:rsidP="0022613C">
      <w:pPr>
        <w:numPr>
          <w:ilvl w:val="0"/>
          <w:numId w:val="1"/>
        </w:numPr>
        <w:spacing w:line="480" w:lineRule="auto"/>
        <w:rPr>
          <w:sz w:val="26"/>
          <w:szCs w:val="26"/>
        </w:rPr>
      </w:pPr>
      <w:r>
        <w:rPr>
          <w:rFonts w:ascii="Times New Roman" w:eastAsia="Times New Roman" w:hAnsi="Times New Roman" w:cs="Times New Roman"/>
          <w:sz w:val="26"/>
          <w:szCs w:val="26"/>
        </w:rPr>
        <w:t>Pursuant to 28 U.S.C. § 2243 issue an order directing the Respondents to show cause within three days why the writ of habeas corpus should not be granted;</w:t>
      </w:r>
    </w:p>
    <w:p w14:paraId="25AF6DEF" w14:textId="77777777" w:rsidR="00125048" w:rsidRDefault="006A2A7A" w:rsidP="0022613C">
      <w:pPr>
        <w:numPr>
          <w:ilvl w:val="0"/>
          <w:numId w:val="1"/>
        </w:numPr>
        <w:spacing w:line="480" w:lineRule="auto"/>
        <w:rPr>
          <w:sz w:val="26"/>
          <w:szCs w:val="26"/>
        </w:rPr>
      </w:pPr>
      <w:r>
        <w:rPr>
          <w:rFonts w:ascii="Times New Roman" w:eastAsia="Times New Roman" w:hAnsi="Times New Roman" w:cs="Times New Roman"/>
          <w:sz w:val="26"/>
          <w:szCs w:val="26"/>
        </w:rPr>
        <w:t>Grant Petitioner a writ of habeas corpus directing the Respondents to immediately release Petitioner from custody; hold a hearing before this Court if warranted; determine that Petitioner’s detention is not justified because the government has not established by clear and convincing evidence that Petitioner presents a risk of flight or danger in light of available alternatives to detention; and order Petitioner’s release, with appropriate conditions of supervision if necessary.</w:t>
      </w:r>
    </w:p>
    <w:p w14:paraId="56192B4F" w14:textId="77777777" w:rsidR="00125048" w:rsidRDefault="006A2A7A" w:rsidP="0022613C">
      <w:pPr>
        <w:numPr>
          <w:ilvl w:val="0"/>
          <w:numId w:val="1"/>
        </w:numPr>
        <w:spacing w:line="480" w:lineRule="auto"/>
        <w:rPr>
          <w:sz w:val="26"/>
          <w:szCs w:val="26"/>
        </w:rPr>
      </w:pPr>
      <w:r>
        <w:rPr>
          <w:rFonts w:ascii="Times New Roman" w:eastAsia="Times New Roman" w:hAnsi="Times New Roman" w:cs="Times New Roman"/>
          <w:sz w:val="26"/>
          <w:szCs w:val="26"/>
        </w:rPr>
        <w:lastRenderedPageBreak/>
        <w:t xml:space="preserve">In the alternative, issue a Writ of Habeas Corpus and order Petitioner’s release within 30 days unless Defendants schedule a hearing before an immigration judge where: (1) to continue detention, the government must establish by clear and convincing evidence that Petitioner presents a risk of flight or danger, even after consideration of alternatives to detention that could mitigate any risk that Petitioner’s release would present; and (2) if the government cannot meet its burden, the immigration judge order Petitioner’s release on appropriate conditions of supervision. </w:t>
      </w:r>
    </w:p>
    <w:p w14:paraId="1E9F6C77" w14:textId="7CECAB39" w:rsidR="00125048" w:rsidRDefault="006A2A7A" w:rsidP="0022613C">
      <w:pPr>
        <w:numPr>
          <w:ilvl w:val="0"/>
          <w:numId w:val="1"/>
        </w:numPr>
        <w:spacing w:line="480" w:lineRule="auto"/>
        <w:rPr>
          <w:sz w:val="26"/>
          <w:szCs w:val="26"/>
        </w:rPr>
      </w:pPr>
      <w:r>
        <w:rPr>
          <w:rFonts w:ascii="Times New Roman" w:eastAsia="Times New Roman" w:hAnsi="Times New Roman" w:cs="Times New Roman"/>
          <w:sz w:val="26"/>
          <w:szCs w:val="26"/>
        </w:rPr>
        <w:t xml:space="preserve">Grant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reasonable attorneys’ fees, costs, and other disbursements pursuant to the Equal to Justice Act, 28 U.S.C. § 2412(d) and 5 U.S.C. § 504, if applicable; and</w:t>
      </w:r>
    </w:p>
    <w:p w14:paraId="6510C0E2" w14:textId="77777777" w:rsidR="00125048" w:rsidRDefault="006A2A7A">
      <w:pPr>
        <w:numPr>
          <w:ilvl w:val="0"/>
          <w:numId w:val="1"/>
        </w:numPr>
        <w:spacing w:line="480" w:lineRule="auto"/>
        <w:ind w:left="1080" w:hanging="360"/>
        <w:rPr>
          <w:sz w:val="26"/>
          <w:szCs w:val="26"/>
        </w:rPr>
        <w:sectPr w:rsidR="00125048">
          <w:footerReference w:type="default" r:id="rId11"/>
          <w:pgSz w:w="12240" w:h="15840"/>
          <w:pgMar w:top="1440" w:right="1440" w:bottom="1440" w:left="1440" w:header="720" w:footer="720" w:gutter="0"/>
          <w:pgNumType w:start="1"/>
          <w:cols w:space="720"/>
        </w:sectPr>
      </w:pPr>
      <w:r>
        <w:rPr>
          <w:rFonts w:ascii="Times New Roman" w:eastAsia="Times New Roman" w:hAnsi="Times New Roman" w:cs="Times New Roman"/>
          <w:sz w:val="26"/>
          <w:szCs w:val="26"/>
        </w:rPr>
        <w:t>Grant such other relief as the Court deems just and proper.</w:t>
      </w:r>
    </w:p>
    <w:p w14:paraId="4EC48C05" w14:textId="77777777" w:rsidR="00125048" w:rsidRDefault="00125048">
      <w:pPr>
        <w:spacing w:line="480" w:lineRule="auto"/>
        <w:rPr>
          <w:rFonts w:ascii="Times New Roman" w:eastAsia="Times New Roman" w:hAnsi="Times New Roman" w:cs="Times New Roman"/>
          <w:sz w:val="26"/>
          <w:szCs w:val="26"/>
        </w:rPr>
      </w:pPr>
    </w:p>
    <w:p w14:paraId="653C8790" w14:textId="77777777" w:rsidR="00125048" w:rsidRDefault="00125048">
      <w:pPr>
        <w:spacing w:line="480" w:lineRule="auto"/>
        <w:rPr>
          <w:rFonts w:ascii="Times New Roman" w:eastAsia="Times New Roman" w:hAnsi="Times New Roman" w:cs="Times New Roman"/>
          <w:sz w:val="26"/>
          <w:szCs w:val="26"/>
        </w:rPr>
      </w:pPr>
    </w:p>
    <w:p w14:paraId="5E2980CB" w14:textId="77777777" w:rsidR="00125048" w:rsidRDefault="00125048">
      <w:pPr>
        <w:spacing w:line="480" w:lineRule="auto"/>
        <w:rPr>
          <w:rFonts w:ascii="Times New Roman" w:eastAsia="Times New Roman" w:hAnsi="Times New Roman" w:cs="Times New Roman"/>
          <w:sz w:val="26"/>
          <w:szCs w:val="26"/>
        </w:rPr>
      </w:pPr>
    </w:p>
    <w:p w14:paraId="793ED1A5" w14:textId="77777777" w:rsidR="00125048" w:rsidRDefault="00125048">
      <w:pPr>
        <w:spacing w:line="480" w:lineRule="auto"/>
        <w:rPr>
          <w:rFonts w:ascii="Times New Roman" w:eastAsia="Times New Roman" w:hAnsi="Times New Roman" w:cs="Times New Roman"/>
          <w:sz w:val="26"/>
          <w:szCs w:val="26"/>
        </w:rPr>
      </w:pPr>
    </w:p>
    <w:p w14:paraId="79FDA857" w14:textId="77777777" w:rsidR="00125048" w:rsidRDefault="00125048">
      <w:pPr>
        <w:spacing w:line="480" w:lineRule="auto"/>
        <w:rPr>
          <w:rFonts w:ascii="Times New Roman" w:eastAsia="Times New Roman" w:hAnsi="Times New Roman" w:cs="Times New Roman"/>
          <w:sz w:val="26"/>
          <w:szCs w:val="26"/>
        </w:rPr>
      </w:pPr>
    </w:p>
    <w:p w14:paraId="1330061F" w14:textId="77777777" w:rsidR="00125048" w:rsidRDefault="00125048">
      <w:pPr>
        <w:spacing w:line="480" w:lineRule="auto"/>
        <w:rPr>
          <w:rFonts w:ascii="Times New Roman" w:eastAsia="Times New Roman" w:hAnsi="Times New Roman" w:cs="Times New Roman"/>
          <w:sz w:val="26"/>
          <w:szCs w:val="26"/>
        </w:rPr>
      </w:pPr>
    </w:p>
    <w:p w14:paraId="3467981F" w14:textId="77777777" w:rsidR="00125048" w:rsidRDefault="00125048">
      <w:pPr>
        <w:spacing w:line="480" w:lineRule="auto"/>
        <w:rPr>
          <w:rFonts w:ascii="Times New Roman" w:eastAsia="Times New Roman" w:hAnsi="Times New Roman" w:cs="Times New Roman"/>
          <w:sz w:val="26"/>
          <w:szCs w:val="26"/>
        </w:rPr>
      </w:pPr>
    </w:p>
    <w:p w14:paraId="0543B455" w14:textId="77777777" w:rsidR="00125048" w:rsidRDefault="00125048">
      <w:pPr>
        <w:spacing w:line="480" w:lineRule="auto"/>
        <w:rPr>
          <w:rFonts w:ascii="Times New Roman" w:eastAsia="Times New Roman" w:hAnsi="Times New Roman" w:cs="Times New Roman"/>
          <w:sz w:val="26"/>
          <w:szCs w:val="26"/>
        </w:rPr>
      </w:pPr>
    </w:p>
    <w:p w14:paraId="1169D6E8" w14:textId="77777777" w:rsidR="00125048" w:rsidRDefault="00125048">
      <w:pPr>
        <w:spacing w:line="480" w:lineRule="auto"/>
        <w:rPr>
          <w:rFonts w:ascii="Times New Roman" w:eastAsia="Times New Roman" w:hAnsi="Times New Roman" w:cs="Times New Roman"/>
          <w:sz w:val="26"/>
          <w:szCs w:val="26"/>
        </w:rPr>
      </w:pPr>
    </w:p>
    <w:p w14:paraId="24663456" w14:textId="77777777" w:rsidR="00125048" w:rsidRDefault="00125048">
      <w:pPr>
        <w:spacing w:line="480" w:lineRule="auto"/>
        <w:rPr>
          <w:rFonts w:ascii="Times New Roman" w:eastAsia="Times New Roman" w:hAnsi="Times New Roman" w:cs="Times New Roman"/>
          <w:sz w:val="26"/>
          <w:szCs w:val="26"/>
        </w:rPr>
      </w:pPr>
    </w:p>
    <w:p w14:paraId="7FF2879A" w14:textId="77777777" w:rsidR="00125048" w:rsidRDefault="00125048">
      <w:pPr>
        <w:spacing w:line="480" w:lineRule="auto"/>
        <w:rPr>
          <w:rFonts w:ascii="Times New Roman" w:eastAsia="Times New Roman" w:hAnsi="Times New Roman" w:cs="Times New Roman"/>
          <w:sz w:val="26"/>
          <w:szCs w:val="26"/>
        </w:rPr>
      </w:pPr>
    </w:p>
    <w:p w14:paraId="16492046" w14:textId="77777777" w:rsidR="00125048" w:rsidRDefault="00125048">
      <w:pPr>
        <w:spacing w:line="480" w:lineRule="auto"/>
        <w:rPr>
          <w:rFonts w:ascii="Times New Roman" w:eastAsia="Times New Roman" w:hAnsi="Times New Roman" w:cs="Times New Roman"/>
          <w:sz w:val="26"/>
          <w:szCs w:val="26"/>
        </w:rPr>
      </w:pPr>
    </w:p>
    <w:p w14:paraId="0E67E4B1" w14:textId="77777777" w:rsidR="00125048" w:rsidRDefault="00125048">
      <w:pPr>
        <w:spacing w:line="480" w:lineRule="auto"/>
        <w:rPr>
          <w:rFonts w:ascii="Times New Roman" w:eastAsia="Times New Roman" w:hAnsi="Times New Roman" w:cs="Times New Roman"/>
          <w:sz w:val="26"/>
          <w:szCs w:val="26"/>
        </w:rPr>
      </w:pPr>
    </w:p>
    <w:p w14:paraId="42BD03D0" w14:textId="77777777" w:rsidR="00125048" w:rsidRDefault="00125048">
      <w:pPr>
        <w:spacing w:line="480" w:lineRule="auto"/>
        <w:rPr>
          <w:rFonts w:ascii="Times New Roman" w:eastAsia="Times New Roman" w:hAnsi="Times New Roman" w:cs="Times New Roman"/>
          <w:sz w:val="26"/>
          <w:szCs w:val="26"/>
        </w:rPr>
      </w:pPr>
    </w:p>
    <w:p w14:paraId="68480E2A" w14:textId="77777777" w:rsidR="0022613C" w:rsidRDefault="0022613C">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2F5445AA" w14:textId="77777777" w:rsidR="003F2A99" w:rsidRDefault="003F2A99" w:rsidP="003F2A99">
      <w:pPr>
        <w:spacing w:line="480" w:lineRule="auto"/>
        <w:rPr>
          <w:rFonts w:ascii="Times New Roman" w:eastAsia="Times New Roman" w:hAnsi="Times New Roman" w:cs="Times New Roman"/>
          <w:sz w:val="26"/>
          <w:szCs w:val="26"/>
          <w:u w:val="single"/>
        </w:rPr>
      </w:pPr>
      <w:r>
        <w:rPr>
          <w:rFonts w:ascii="Times New Roman" w:eastAsia="Times New Roman" w:hAnsi="Times New Roman" w:cs="Times New Roman"/>
          <w:sz w:val="26"/>
          <w:szCs w:val="26"/>
        </w:rPr>
        <w:lastRenderedPageBreak/>
        <w:t>Dated: December 6, 2019</w:t>
      </w:r>
    </w:p>
    <w:p w14:paraId="4F014D85" w14:textId="77777777" w:rsidR="00125048" w:rsidRDefault="00125048">
      <w:pPr>
        <w:spacing w:line="480" w:lineRule="auto"/>
        <w:rPr>
          <w:rFonts w:ascii="Times New Roman" w:eastAsia="Times New Roman" w:hAnsi="Times New Roman" w:cs="Times New Roman"/>
          <w:sz w:val="26"/>
          <w:szCs w:val="26"/>
        </w:rPr>
      </w:pPr>
    </w:p>
    <w:p w14:paraId="0007BB17" w14:textId="77777777" w:rsidR="00125048" w:rsidRDefault="00125048">
      <w:pPr>
        <w:spacing w:line="480" w:lineRule="auto"/>
        <w:rPr>
          <w:rFonts w:ascii="Times New Roman" w:eastAsia="Times New Roman" w:hAnsi="Times New Roman" w:cs="Times New Roman"/>
          <w:sz w:val="26"/>
          <w:szCs w:val="26"/>
        </w:rPr>
      </w:pPr>
    </w:p>
    <w:p w14:paraId="43A117AE" w14:textId="77777777" w:rsidR="00125048" w:rsidRDefault="00125048">
      <w:pPr>
        <w:spacing w:line="480" w:lineRule="auto"/>
        <w:rPr>
          <w:rFonts w:ascii="Times New Roman" w:eastAsia="Times New Roman" w:hAnsi="Times New Roman" w:cs="Times New Roman"/>
          <w:sz w:val="26"/>
          <w:szCs w:val="26"/>
        </w:rPr>
      </w:pPr>
    </w:p>
    <w:p w14:paraId="16163C24" w14:textId="77777777" w:rsidR="00125048" w:rsidRDefault="00125048">
      <w:pPr>
        <w:spacing w:line="480" w:lineRule="auto"/>
        <w:rPr>
          <w:rFonts w:ascii="Times New Roman" w:eastAsia="Times New Roman" w:hAnsi="Times New Roman" w:cs="Times New Roman"/>
          <w:sz w:val="26"/>
          <w:szCs w:val="26"/>
        </w:rPr>
      </w:pPr>
    </w:p>
    <w:p w14:paraId="6E0DEE97" w14:textId="77777777" w:rsidR="00125048" w:rsidRDefault="00125048">
      <w:pPr>
        <w:spacing w:line="480" w:lineRule="auto"/>
        <w:rPr>
          <w:rFonts w:ascii="Times New Roman" w:eastAsia="Times New Roman" w:hAnsi="Times New Roman" w:cs="Times New Roman"/>
          <w:sz w:val="26"/>
          <w:szCs w:val="26"/>
        </w:rPr>
      </w:pPr>
    </w:p>
    <w:p w14:paraId="27871BEE" w14:textId="77777777" w:rsidR="00125048" w:rsidRDefault="00125048">
      <w:pPr>
        <w:spacing w:line="480" w:lineRule="auto"/>
        <w:rPr>
          <w:rFonts w:ascii="Times New Roman" w:eastAsia="Times New Roman" w:hAnsi="Times New Roman" w:cs="Times New Roman"/>
          <w:sz w:val="26"/>
          <w:szCs w:val="26"/>
        </w:rPr>
      </w:pPr>
    </w:p>
    <w:p w14:paraId="054743B8" w14:textId="77777777" w:rsidR="00125048" w:rsidRDefault="00125048">
      <w:pPr>
        <w:spacing w:line="480" w:lineRule="auto"/>
        <w:rPr>
          <w:rFonts w:ascii="Times New Roman" w:eastAsia="Times New Roman" w:hAnsi="Times New Roman" w:cs="Times New Roman"/>
          <w:sz w:val="26"/>
          <w:szCs w:val="26"/>
        </w:rPr>
      </w:pPr>
    </w:p>
    <w:p w14:paraId="19FD9D8C" w14:textId="77777777" w:rsidR="00125048" w:rsidRDefault="00125048">
      <w:pPr>
        <w:spacing w:line="480" w:lineRule="auto"/>
        <w:rPr>
          <w:rFonts w:ascii="Times New Roman" w:eastAsia="Times New Roman" w:hAnsi="Times New Roman" w:cs="Times New Roman"/>
          <w:sz w:val="26"/>
          <w:szCs w:val="26"/>
        </w:rPr>
      </w:pPr>
    </w:p>
    <w:p w14:paraId="3191C413" w14:textId="77777777" w:rsidR="00125048" w:rsidRDefault="00125048">
      <w:pPr>
        <w:spacing w:line="480" w:lineRule="auto"/>
        <w:rPr>
          <w:rFonts w:ascii="Times New Roman" w:eastAsia="Times New Roman" w:hAnsi="Times New Roman" w:cs="Times New Roman"/>
          <w:sz w:val="26"/>
          <w:szCs w:val="26"/>
        </w:rPr>
      </w:pPr>
    </w:p>
    <w:p w14:paraId="401BD9EE" w14:textId="77777777" w:rsidR="00125048" w:rsidRDefault="00125048">
      <w:pPr>
        <w:spacing w:line="480" w:lineRule="auto"/>
        <w:rPr>
          <w:rFonts w:ascii="Times New Roman" w:eastAsia="Times New Roman" w:hAnsi="Times New Roman" w:cs="Times New Roman"/>
          <w:sz w:val="26"/>
          <w:szCs w:val="26"/>
        </w:rPr>
      </w:pPr>
    </w:p>
    <w:p w14:paraId="07844ED0" w14:textId="77777777" w:rsidR="00125048" w:rsidRDefault="00125048">
      <w:pPr>
        <w:spacing w:line="480" w:lineRule="auto"/>
        <w:rPr>
          <w:rFonts w:ascii="Times New Roman" w:eastAsia="Times New Roman" w:hAnsi="Times New Roman" w:cs="Times New Roman"/>
          <w:sz w:val="26"/>
          <w:szCs w:val="26"/>
        </w:rPr>
      </w:pPr>
    </w:p>
    <w:p w14:paraId="79D042BF" w14:textId="77777777" w:rsidR="003F2A99" w:rsidRDefault="003F2A99">
      <w:pPr>
        <w:spacing w:line="480" w:lineRule="auto"/>
        <w:rPr>
          <w:rFonts w:ascii="Times New Roman" w:eastAsia="Times New Roman" w:hAnsi="Times New Roman" w:cs="Times New Roman"/>
          <w:sz w:val="26"/>
          <w:szCs w:val="26"/>
        </w:rPr>
      </w:pPr>
    </w:p>
    <w:p w14:paraId="459D9AA3" w14:textId="77777777" w:rsidR="003F2A99" w:rsidRDefault="003F2A99">
      <w:pPr>
        <w:spacing w:line="480" w:lineRule="auto"/>
        <w:rPr>
          <w:rFonts w:ascii="Times New Roman" w:eastAsia="Times New Roman" w:hAnsi="Times New Roman" w:cs="Times New Roman"/>
          <w:sz w:val="26"/>
          <w:szCs w:val="26"/>
        </w:rPr>
      </w:pPr>
    </w:p>
    <w:p w14:paraId="4A4245CB" w14:textId="77777777" w:rsidR="003F2A99" w:rsidRDefault="003F2A99">
      <w:pPr>
        <w:spacing w:line="480" w:lineRule="auto"/>
        <w:rPr>
          <w:rFonts w:ascii="Times New Roman" w:eastAsia="Times New Roman" w:hAnsi="Times New Roman" w:cs="Times New Roman"/>
          <w:sz w:val="26"/>
          <w:szCs w:val="26"/>
        </w:rPr>
      </w:pPr>
    </w:p>
    <w:p w14:paraId="6B7C49C5" w14:textId="77777777" w:rsidR="003F2A99" w:rsidRDefault="003F2A99">
      <w:pPr>
        <w:spacing w:line="480" w:lineRule="auto"/>
        <w:rPr>
          <w:rFonts w:ascii="Times New Roman" w:eastAsia="Times New Roman" w:hAnsi="Times New Roman" w:cs="Times New Roman"/>
          <w:sz w:val="26"/>
          <w:szCs w:val="26"/>
        </w:rPr>
      </w:pPr>
    </w:p>
    <w:p w14:paraId="1A270048" w14:textId="77777777" w:rsidR="003F2A99" w:rsidRDefault="003F2A99">
      <w:pPr>
        <w:spacing w:line="480" w:lineRule="auto"/>
        <w:rPr>
          <w:rFonts w:ascii="Times New Roman" w:eastAsia="Times New Roman" w:hAnsi="Times New Roman" w:cs="Times New Roman"/>
          <w:sz w:val="26"/>
          <w:szCs w:val="26"/>
        </w:rPr>
      </w:pPr>
    </w:p>
    <w:p w14:paraId="65428B6B" w14:textId="77777777" w:rsidR="003F2A99" w:rsidRDefault="003F2A99">
      <w:pPr>
        <w:spacing w:line="480" w:lineRule="auto"/>
        <w:rPr>
          <w:rFonts w:ascii="Times New Roman" w:eastAsia="Times New Roman" w:hAnsi="Times New Roman" w:cs="Times New Roman"/>
          <w:sz w:val="26"/>
          <w:szCs w:val="26"/>
        </w:rPr>
      </w:pPr>
    </w:p>
    <w:p w14:paraId="44EB69BA" w14:textId="77777777" w:rsidR="003F2A99" w:rsidRDefault="003F2A99">
      <w:pPr>
        <w:spacing w:line="480" w:lineRule="auto"/>
        <w:rPr>
          <w:rFonts w:ascii="Times New Roman" w:eastAsia="Times New Roman" w:hAnsi="Times New Roman" w:cs="Times New Roman"/>
          <w:sz w:val="26"/>
          <w:szCs w:val="26"/>
        </w:rPr>
      </w:pPr>
    </w:p>
    <w:p w14:paraId="1643E6F4" w14:textId="77777777" w:rsidR="003F2A99" w:rsidRDefault="003F2A99">
      <w:pPr>
        <w:spacing w:line="480" w:lineRule="auto"/>
        <w:rPr>
          <w:rFonts w:ascii="Times New Roman" w:eastAsia="Times New Roman" w:hAnsi="Times New Roman" w:cs="Times New Roman"/>
          <w:sz w:val="26"/>
          <w:szCs w:val="26"/>
        </w:rPr>
      </w:pPr>
    </w:p>
    <w:p w14:paraId="45FFE513" w14:textId="77777777" w:rsidR="003F2A99" w:rsidRDefault="003F2A99">
      <w:pPr>
        <w:spacing w:line="480" w:lineRule="auto"/>
        <w:rPr>
          <w:rFonts w:ascii="Times New Roman" w:eastAsia="Times New Roman" w:hAnsi="Times New Roman" w:cs="Times New Roman"/>
          <w:sz w:val="26"/>
          <w:szCs w:val="26"/>
        </w:rPr>
      </w:pPr>
    </w:p>
    <w:p w14:paraId="0503D9DB" w14:textId="77777777" w:rsidR="003F2A99" w:rsidRDefault="003F2A99">
      <w:pPr>
        <w:spacing w:line="480" w:lineRule="auto"/>
        <w:rPr>
          <w:rFonts w:ascii="Times New Roman" w:eastAsia="Times New Roman" w:hAnsi="Times New Roman" w:cs="Times New Roman"/>
          <w:sz w:val="26"/>
          <w:szCs w:val="26"/>
        </w:rPr>
      </w:pPr>
    </w:p>
    <w:p w14:paraId="7FC952C3" w14:textId="77777777" w:rsidR="00125048" w:rsidRDefault="006A2A7A">
      <w:pPr>
        <w:spacing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Respectfully submitted,</w:t>
      </w:r>
    </w:p>
    <w:p w14:paraId="6979097C" w14:textId="77777777" w:rsidR="00125048" w:rsidRDefault="006A2A7A">
      <w:pPr>
        <w:spacing w:line="240" w:lineRule="auto"/>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s/Benjamin Casper Sanchez</w:t>
      </w:r>
    </w:p>
    <w:p w14:paraId="636DC39E" w14:textId="77777777" w:rsidR="00125048" w:rsidRPr="003A2AA8" w:rsidRDefault="006A2A7A">
      <w:pPr>
        <w:spacing w:line="240" w:lineRule="auto"/>
        <w:rPr>
          <w:rFonts w:ascii="Times New Roman" w:eastAsia="Times New Roman" w:hAnsi="Times New Roman" w:cs="Times New Roman"/>
          <w:sz w:val="26"/>
          <w:szCs w:val="26"/>
          <w:lang w:val="es-MX"/>
        </w:rPr>
      </w:pPr>
      <w:r w:rsidRPr="003A2AA8">
        <w:rPr>
          <w:rFonts w:ascii="Times New Roman" w:eastAsia="Times New Roman" w:hAnsi="Times New Roman" w:cs="Times New Roman"/>
          <w:sz w:val="26"/>
          <w:szCs w:val="26"/>
          <w:lang w:val="es-MX"/>
        </w:rPr>
        <w:t>Benjamin Casper Sanchez (MN #0276145)</w:t>
      </w:r>
    </w:p>
    <w:p w14:paraId="04F681FB" w14:textId="77777777" w:rsidR="00125048" w:rsidRPr="003A2AA8" w:rsidRDefault="006A2A7A">
      <w:pPr>
        <w:spacing w:line="240" w:lineRule="auto"/>
        <w:rPr>
          <w:rFonts w:ascii="Times New Roman" w:eastAsia="Times New Roman" w:hAnsi="Times New Roman" w:cs="Times New Roman"/>
          <w:sz w:val="26"/>
          <w:szCs w:val="26"/>
          <w:lang w:val="es-MX"/>
        </w:rPr>
      </w:pPr>
      <w:r w:rsidRPr="003A2AA8">
        <w:rPr>
          <w:rFonts w:ascii="Times New Roman" w:eastAsia="Times New Roman" w:hAnsi="Times New Roman" w:cs="Times New Roman"/>
          <w:sz w:val="26"/>
          <w:szCs w:val="26"/>
          <w:lang w:val="es-MX"/>
        </w:rPr>
        <w:t>Kathy Moccio (MN #0190482)</w:t>
      </w:r>
    </w:p>
    <w:p w14:paraId="7FE53E24" w14:textId="77777777" w:rsidR="00125048" w:rsidRDefault="006A2A7A">
      <w:pPr>
        <w:spacing w:line="240" w:lineRule="auto"/>
        <w:rPr>
          <w:rFonts w:ascii="Times New Roman" w:eastAsia="Times New Roman" w:hAnsi="Times New Roman" w:cs="Times New Roman"/>
          <w:i/>
          <w:sz w:val="26"/>
          <w:szCs w:val="26"/>
        </w:rPr>
      </w:pPr>
      <w:r w:rsidRPr="003A2AA8">
        <w:rPr>
          <w:rFonts w:ascii="Times New Roman" w:eastAsia="Times New Roman" w:hAnsi="Times New Roman" w:cs="Times New Roman"/>
          <w:sz w:val="26"/>
          <w:szCs w:val="26"/>
          <w:lang w:val="es-MX"/>
        </w:rPr>
        <w:tab/>
      </w:r>
      <w:r>
        <w:rPr>
          <w:rFonts w:ascii="Times New Roman" w:eastAsia="Times New Roman" w:hAnsi="Times New Roman" w:cs="Times New Roman"/>
          <w:i/>
          <w:sz w:val="26"/>
          <w:szCs w:val="26"/>
        </w:rPr>
        <w:t>Supervising Attorneys</w:t>
      </w:r>
    </w:p>
    <w:p w14:paraId="188DE19E" w14:textId="77777777" w:rsidR="00125048" w:rsidRDefault="006A2A7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Alexander Wolf</w:t>
      </w:r>
    </w:p>
    <w:p w14:paraId="16152BAA" w14:textId="77777777" w:rsidR="00125048" w:rsidRDefault="006A2A7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Lee Anne Mills</w:t>
      </w:r>
    </w:p>
    <w:p w14:paraId="4538D440" w14:textId="77777777" w:rsidR="00125048" w:rsidRDefault="006A2A7A">
      <w:pPr>
        <w:spacing w:line="24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i/>
          <w:sz w:val="26"/>
          <w:szCs w:val="26"/>
        </w:rPr>
        <w:t>Certified Student Attorneys</w:t>
      </w:r>
    </w:p>
    <w:p w14:paraId="30337DA2" w14:textId="77777777" w:rsidR="00125048" w:rsidRDefault="006A2A7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James H. Binger Center for New Americans</w:t>
      </w:r>
    </w:p>
    <w:p w14:paraId="42677649" w14:textId="77777777" w:rsidR="00125048" w:rsidRDefault="006A2A7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University of Minnesota Law School</w:t>
      </w:r>
    </w:p>
    <w:p w14:paraId="16319E79" w14:textId="77777777" w:rsidR="00125048" w:rsidRDefault="006A2A7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229 19th Avenue South</w:t>
      </w:r>
    </w:p>
    <w:p w14:paraId="0899342B" w14:textId="77777777" w:rsidR="00125048" w:rsidRDefault="006A2A7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Minneapolis, MN 55455</w:t>
      </w:r>
    </w:p>
    <w:p w14:paraId="78730F8A" w14:textId="77777777" w:rsidR="00125048" w:rsidRDefault="006A2A7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(612) 625-5515</w:t>
      </w:r>
    </w:p>
    <w:p w14:paraId="71280AA1" w14:textId="77777777" w:rsidR="00125048" w:rsidRDefault="006A2A7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caspe010@umn.edu</w:t>
      </w:r>
    </w:p>
    <w:p w14:paraId="282CB91A" w14:textId="77777777" w:rsidR="00125048" w:rsidRDefault="006A2A7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kmoccio@umn.edu</w:t>
      </w:r>
    </w:p>
    <w:p w14:paraId="56C5E29A" w14:textId="77777777" w:rsidR="00125048" w:rsidRDefault="00125048">
      <w:pPr>
        <w:spacing w:line="240" w:lineRule="auto"/>
        <w:rPr>
          <w:rFonts w:ascii="Times New Roman" w:eastAsia="Times New Roman" w:hAnsi="Times New Roman" w:cs="Times New Roman"/>
          <w:sz w:val="26"/>
          <w:szCs w:val="26"/>
        </w:rPr>
      </w:pPr>
    </w:p>
    <w:p w14:paraId="009304B7" w14:textId="77777777" w:rsidR="00125048" w:rsidRDefault="006A2A7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John Bruning (MN #399174)</w:t>
      </w:r>
    </w:p>
    <w:p w14:paraId="2328A0FF" w14:textId="77777777" w:rsidR="00125048" w:rsidRDefault="006A2A7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Kim Hunter Law, PLLC</w:t>
      </w:r>
    </w:p>
    <w:p w14:paraId="68B5192C" w14:textId="77777777" w:rsidR="00125048" w:rsidRDefault="006A2A7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656 Selby Avenue, Suite 100</w:t>
      </w:r>
    </w:p>
    <w:p w14:paraId="06939DB8" w14:textId="77777777" w:rsidR="00125048" w:rsidRDefault="006A2A7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St. Paul, MN 55104</w:t>
      </w:r>
    </w:p>
    <w:p w14:paraId="681646DA" w14:textId="77777777" w:rsidR="00125048" w:rsidRDefault="006A2A7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(651) 641-0440</w:t>
      </w:r>
    </w:p>
    <w:p w14:paraId="39A8FD13" w14:textId="77777777" w:rsidR="00125048" w:rsidRDefault="006A2A7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john@kimhunterlaw.com</w:t>
      </w:r>
    </w:p>
    <w:p w14:paraId="2301A09D" w14:textId="77777777" w:rsidR="00125048" w:rsidRDefault="00125048">
      <w:pPr>
        <w:spacing w:line="240" w:lineRule="auto"/>
        <w:rPr>
          <w:rFonts w:ascii="Times New Roman" w:eastAsia="Times New Roman" w:hAnsi="Times New Roman" w:cs="Times New Roman"/>
          <w:sz w:val="26"/>
          <w:szCs w:val="26"/>
        </w:rPr>
      </w:pPr>
    </w:p>
    <w:tbl>
      <w:tblPr>
        <w:tblW w:w="9090" w:type="dxa"/>
        <w:tblLayout w:type="fixed"/>
        <w:tblLook w:val="0600" w:firstRow="0" w:lastRow="0" w:firstColumn="0" w:lastColumn="0" w:noHBand="1" w:noVBand="1"/>
      </w:tblPr>
      <w:tblGrid>
        <w:gridCol w:w="9090"/>
      </w:tblGrid>
      <w:tr w:rsidR="003F2A99" w:rsidRPr="006303FF" w14:paraId="36757473" w14:textId="77777777" w:rsidTr="003F0E3A">
        <w:tc>
          <w:tcPr>
            <w:tcW w:w="5040" w:type="dxa"/>
            <w:shd w:val="clear" w:color="auto" w:fill="auto"/>
            <w:tcMar>
              <w:top w:w="100" w:type="dxa"/>
              <w:left w:w="100" w:type="dxa"/>
              <w:bottom w:w="100" w:type="dxa"/>
              <w:right w:w="100" w:type="dxa"/>
            </w:tcMar>
          </w:tcPr>
          <w:p w14:paraId="107B714B" w14:textId="77777777" w:rsidR="003F2A99" w:rsidRPr="006303FF" w:rsidRDefault="003F2A99" w:rsidP="003F0E3A">
            <w:pPr>
              <w:widowControl w:val="0"/>
              <w:pBdr>
                <w:top w:val="nil"/>
                <w:left w:val="nil"/>
                <w:bottom w:val="nil"/>
                <w:right w:val="nil"/>
                <w:between w:val="nil"/>
              </w:pBdr>
              <w:spacing w:line="240" w:lineRule="auto"/>
              <w:rPr>
                <w:rFonts w:ascii="Times New Roman" w:eastAsia="Times New Roman" w:hAnsi="Times New Roman" w:cs="Times New Roman"/>
                <w:i/>
                <w:sz w:val="25"/>
                <w:szCs w:val="25"/>
                <w:u w:val="single"/>
              </w:rPr>
            </w:pPr>
            <w:r w:rsidRPr="006303FF">
              <w:rPr>
                <w:rFonts w:ascii="Times New Roman" w:eastAsia="Times New Roman" w:hAnsi="Times New Roman" w:cs="Times New Roman"/>
                <w:sz w:val="25"/>
                <w:szCs w:val="25"/>
                <w:u w:val="single"/>
              </w:rPr>
              <w:t xml:space="preserve">s/ </w:t>
            </w:r>
            <w:r w:rsidRPr="006303FF">
              <w:rPr>
                <w:rFonts w:ascii="Times New Roman" w:eastAsia="Times New Roman" w:hAnsi="Times New Roman" w:cs="Times New Roman"/>
                <w:i/>
                <w:sz w:val="25"/>
                <w:szCs w:val="25"/>
                <w:u w:val="single"/>
              </w:rPr>
              <w:t>Michael D. Reif</w:t>
            </w:r>
          </w:p>
          <w:p w14:paraId="6AB5FDF2" w14:textId="77777777" w:rsidR="003F2A99" w:rsidRPr="006303FF" w:rsidRDefault="003F2A99" w:rsidP="003F0E3A">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sidRPr="006303FF">
              <w:rPr>
                <w:rFonts w:ascii="Times New Roman" w:eastAsia="Times New Roman" w:hAnsi="Times New Roman" w:cs="Times New Roman"/>
                <w:sz w:val="25"/>
                <w:szCs w:val="25"/>
              </w:rPr>
              <w:t>Michael D. Reif (MN #0386979)</w:t>
            </w:r>
          </w:p>
          <w:p w14:paraId="62DC137D" w14:textId="77777777" w:rsidR="003F2A99" w:rsidRPr="003A2AA8" w:rsidRDefault="003F2A99" w:rsidP="003F0E3A">
            <w:pPr>
              <w:widowControl w:val="0"/>
              <w:pBdr>
                <w:top w:val="nil"/>
                <w:left w:val="nil"/>
                <w:bottom w:val="nil"/>
                <w:right w:val="nil"/>
                <w:between w:val="nil"/>
              </w:pBdr>
              <w:spacing w:line="240" w:lineRule="auto"/>
              <w:rPr>
                <w:rFonts w:ascii="Times New Roman" w:eastAsia="Times New Roman" w:hAnsi="Times New Roman" w:cs="Times New Roman"/>
                <w:sz w:val="25"/>
                <w:szCs w:val="25"/>
                <w:lang w:val="es-ES_tradnl"/>
              </w:rPr>
            </w:pPr>
            <w:bookmarkStart w:id="0" w:name="_3j2qqm3" w:colFirst="0" w:colLast="0"/>
            <w:bookmarkEnd w:id="0"/>
            <w:r w:rsidRPr="003A2AA8">
              <w:rPr>
                <w:rFonts w:ascii="Times New Roman" w:eastAsia="Times New Roman" w:hAnsi="Times New Roman" w:cs="Times New Roman"/>
                <w:sz w:val="25"/>
                <w:szCs w:val="25"/>
                <w:lang w:val="es-ES_tradnl"/>
              </w:rPr>
              <w:t>Rajin S. Olson (MN #0398489)</w:t>
            </w:r>
          </w:p>
          <w:p w14:paraId="2FE495CD" w14:textId="77777777" w:rsidR="003F2A99" w:rsidRPr="003A2AA8" w:rsidRDefault="003F2A99" w:rsidP="003F0E3A">
            <w:pPr>
              <w:widowControl w:val="0"/>
              <w:pBdr>
                <w:top w:val="nil"/>
                <w:left w:val="nil"/>
                <w:bottom w:val="nil"/>
                <w:right w:val="nil"/>
                <w:between w:val="nil"/>
              </w:pBdr>
              <w:spacing w:line="240" w:lineRule="auto"/>
              <w:rPr>
                <w:rFonts w:ascii="Times New Roman" w:eastAsia="Times New Roman" w:hAnsi="Times New Roman" w:cs="Times New Roman"/>
                <w:sz w:val="25"/>
                <w:szCs w:val="25"/>
                <w:lang w:val="es-ES_tradnl"/>
              </w:rPr>
            </w:pPr>
            <w:r w:rsidRPr="003A2AA8">
              <w:rPr>
                <w:rFonts w:ascii="Times New Roman" w:eastAsia="Times New Roman" w:hAnsi="Times New Roman" w:cs="Times New Roman"/>
                <w:sz w:val="25"/>
                <w:szCs w:val="25"/>
                <w:lang w:val="es-ES_tradnl"/>
              </w:rPr>
              <w:t xml:space="preserve">Robins Kaplan LLP </w:t>
            </w:r>
          </w:p>
          <w:p w14:paraId="6F53A8D2" w14:textId="77777777" w:rsidR="003F2A99" w:rsidRPr="003A2AA8" w:rsidRDefault="003F2A99" w:rsidP="003F0E3A">
            <w:pPr>
              <w:widowControl w:val="0"/>
              <w:pBdr>
                <w:top w:val="nil"/>
                <w:left w:val="nil"/>
                <w:bottom w:val="nil"/>
                <w:right w:val="nil"/>
                <w:between w:val="nil"/>
              </w:pBdr>
              <w:spacing w:line="240" w:lineRule="auto"/>
              <w:rPr>
                <w:rFonts w:ascii="Times New Roman" w:eastAsia="Times New Roman" w:hAnsi="Times New Roman" w:cs="Times New Roman"/>
                <w:sz w:val="25"/>
                <w:szCs w:val="25"/>
                <w:lang w:val="es-ES_tradnl"/>
              </w:rPr>
            </w:pPr>
            <w:r w:rsidRPr="003A2AA8">
              <w:rPr>
                <w:rFonts w:ascii="Times New Roman" w:eastAsia="Times New Roman" w:hAnsi="Times New Roman" w:cs="Times New Roman"/>
                <w:sz w:val="25"/>
                <w:szCs w:val="25"/>
                <w:lang w:val="es-ES_tradnl"/>
              </w:rPr>
              <w:t xml:space="preserve">2800 LaSalle Plaza </w:t>
            </w:r>
          </w:p>
          <w:p w14:paraId="778067D6" w14:textId="77777777" w:rsidR="003F2A99" w:rsidRPr="006303FF" w:rsidRDefault="003F2A99" w:rsidP="003F0E3A">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sidRPr="006303FF">
              <w:rPr>
                <w:rFonts w:ascii="Times New Roman" w:eastAsia="Times New Roman" w:hAnsi="Times New Roman" w:cs="Times New Roman"/>
                <w:sz w:val="25"/>
                <w:szCs w:val="25"/>
              </w:rPr>
              <w:t xml:space="preserve">800 LaSalle Avenue </w:t>
            </w:r>
          </w:p>
          <w:p w14:paraId="141C7E25" w14:textId="77777777" w:rsidR="003F2A99" w:rsidRPr="006303FF" w:rsidRDefault="003F2A99" w:rsidP="003F0E3A">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sidRPr="006303FF">
              <w:rPr>
                <w:rFonts w:ascii="Times New Roman" w:eastAsia="Times New Roman" w:hAnsi="Times New Roman" w:cs="Times New Roman"/>
                <w:sz w:val="25"/>
                <w:szCs w:val="25"/>
              </w:rPr>
              <w:t>Minneapolis, MN 55402-2015</w:t>
            </w:r>
          </w:p>
          <w:p w14:paraId="24201F98" w14:textId="77777777" w:rsidR="003F2A99" w:rsidRPr="006303FF" w:rsidRDefault="003F2A99" w:rsidP="003F0E3A">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sidRPr="006303FF">
              <w:rPr>
                <w:rFonts w:ascii="Times New Roman" w:eastAsia="Times New Roman" w:hAnsi="Times New Roman" w:cs="Times New Roman"/>
                <w:sz w:val="25"/>
                <w:szCs w:val="25"/>
              </w:rPr>
              <w:t>(612) 359-8500</w:t>
            </w:r>
          </w:p>
          <w:p w14:paraId="7F68CF00" w14:textId="77777777" w:rsidR="003F2A99" w:rsidRPr="006303FF" w:rsidRDefault="003F2A99" w:rsidP="003F0E3A">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sidRPr="006303FF">
              <w:rPr>
                <w:rFonts w:ascii="Times New Roman" w:eastAsia="Times New Roman" w:hAnsi="Times New Roman" w:cs="Times New Roman"/>
                <w:sz w:val="25"/>
                <w:szCs w:val="25"/>
              </w:rPr>
              <w:t>mreif@robinskaplan.com</w:t>
            </w:r>
          </w:p>
          <w:p w14:paraId="72DA2975" w14:textId="77777777" w:rsidR="003F2A99" w:rsidRPr="006303FF" w:rsidRDefault="003F2A99" w:rsidP="003F0E3A">
            <w:pPr>
              <w:widowControl w:val="0"/>
              <w:pBdr>
                <w:top w:val="nil"/>
                <w:left w:val="nil"/>
                <w:bottom w:val="nil"/>
                <w:right w:val="nil"/>
                <w:between w:val="nil"/>
              </w:pBdr>
              <w:spacing w:line="240" w:lineRule="auto"/>
              <w:rPr>
                <w:rFonts w:ascii="Times New Roman" w:eastAsia="Times New Roman" w:hAnsi="Times New Roman" w:cs="Times New Roman"/>
                <w:sz w:val="25"/>
                <w:szCs w:val="25"/>
              </w:rPr>
            </w:pPr>
            <w:r w:rsidRPr="006303FF">
              <w:rPr>
                <w:rFonts w:ascii="Times New Roman" w:eastAsia="Times New Roman" w:hAnsi="Times New Roman" w:cs="Times New Roman"/>
                <w:sz w:val="25"/>
                <w:szCs w:val="25"/>
              </w:rPr>
              <w:t xml:space="preserve">rolson@robinskaplan.com </w:t>
            </w:r>
          </w:p>
        </w:tc>
      </w:tr>
    </w:tbl>
    <w:p w14:paraId="53013EDC" w14:textId="77777777" w:rsidR="00125048" w:rsidRDefault="00125048">
      <w:pPr>
        <w:spacing w:line="240" w:lineRule="auto"/>
        <w:rPr>
          <w:rFonts w:ascii="Times New Roman" w:eastAsia="Times New Roman" w:hAnsi="Times New Roman" w:cs="Times New Roman"/>
          <w:sz w:val="26"/>
          <w:szCs w:val="26"/>
        </w:rPr>
      </w:pPr>
    </w:p>
    <w:p w14:paraId="71D56B04" w14:textId="77777777" w:rsidR="00125048" w:rsidRDefault="006A2A7A">
      <w:pPr>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Attorneys for Petitioner </w:t>
      </w:r>
    </w:p>
    <w:sectPr w:rsidR="00125048">
      <w:type w:val="continuous"/>
      <w:pgSz w:w="12240" w:h="15840"/>
      <w:pgMar w:top="1440" w:right="1440" w:bottom="1440" w:left="1440" w:header="720" w:footer="720" w:gutter="0"/>
      <w:cols w:num="2" w:space="720" w:equalWidth="0">
        <w:col w:w="4620" w:space="120"/>
        <w:col w:w="46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E1F92" w14:textId="77777777" w:rsidR="0013061F" w:rsidRDefault="0013061F">
      <w:pPr>
        <w:spacing w:line="240" w:lineRule="auto"/>
      </w:pPr>
      <w:r>
        <w:separator/>
      </w:r>
    </w:p>
  </w:endnote>
  <w:endnote w:type="continuationSeparator" w:id="0">
    <w:p w14:paraId="1A67CFA4" w14:textId="77777777" w:rsidR="0013061F" w:rsidRDefault="00130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6315301"/>
      <w:docPartObj>
        <w:docPartGallery w:val="Page Numbers (Bottom of Page)"/>
        <w:docPartUnique/>
      </w:docPartObj>
    </w:sdtPr>
    <w:sdtEndPr>
      <w:rPr>
        <w:rFonts w:ascii="Times New Roman" w:hAnsi="Times New Roman" w:cs="Times New Roman"/>
        <w:noProof/>
        <w:sz w:val="26"/>
        <w:szCs w:val="26"/>
      </w:rPr>
    </w:sdtEndPr>
    <w:sdtContent>
      <w:p w14:paraId="05DCB942" w14:textId="77777777" w:rsidR="00A84838" w:rsidRPr="003A2AA8" w:rsidRDefault="00A84838">
        <w:pPr>
          <w:pStyle w:val="Footer"/>
          <w:jc w:val="center"/>
          <w:rPr>
            <w:rFonts w:ascii="Times New Roman" w:hAnsi="Times New Roman" w:cs="Times New Roman"/>
            <w:sz w:val="26"/>
            <w:szCs w:val="26"/>
          </w:rPr>
        </w:pPr>
        <w:r w:rsidRPr="003A2AA8">
          <w:rPr>
            <w:rFonts w:ascii="Times New Roman" w:hAnsi="Times New Roman" w:cs="Times New Roman"/>
            <w:sz w:val="26"/>
            <w:szCs w:val="26"/>
          </w:rPr>
          <w:fldChar w:fldCharType="begin"/>
        </w:r>
        <w:r w:rsidRPr="003A2AA8">
          <w:rPr>
            <w:rFonts w:ascii="Times New Roman" w:hAnsi="Times New Roman" w:cs="Times New Roman"/>
            <w:sz w:val="26"/>
            <w:szCs w:val="26"/>
          </w:rPr>
          <w:instrText xml:space="preserve"> PAGE   \* MERGEFORMAT </w:instrText>
        </w:r>
        <w:r w:rsidRPr="003A2AA8">
          <w:rPr>
            <w:rFonts w:ascii="Times New Roman" w:hAnsi="Times New Roman" w:cs="Times New Roman"/>
            <w:sz w:val="26"/>
            <w:szCs w:val="26"/>
          </w:rPr>
          <w:fldChar w:fldCharType="separate"/>
        </w:r>
        <w:r w:rsidR="0022613C">
          <w:rPr>
            <w:rFonts w:ascii="Times New Roman" w:hAnsi="Times New Roman" w:cs="Times New Roman"/>
            <w:noProof/>
            <w:sz w:val="26"/>
            <w:szCs w:val="26"/>
          </w:rPr>
          <w:t>31</w:t>
        </w:r>
        <w:r w:rsidRPr="003A2AA8">
          <w:rPr>
            <w:rFonts w:ascii="Times New Roman" w:hAnsi="Times New Roman" w:cs="Times New Roman"/>
            <w:noProof/>
            <w:sz w:val="26"/>
            <w:szCs w:val="26"/>
          </w:rPr>
          <w:fldChar w:fldCharType="end"/>
        </w:r>
      </w:p>
    </w:sdtContent>
  </w:sdt>
  <w:p w14:paraId="7FBBC1A9" w14:textId="77777777" w:rsidR="00A84838" w:rsidRDefault="00A84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FC5AF" w14:textId="77777777" w:rsidR="0013061F" w:rsidRDefault="0013061F">
      <w:pPr>
        <w:spacing w:line="240" w:lineRule="auto"/>
      </w:pPr>
      <w:r>
        <w:separator/>
      </w:r>
    </w:p>
  </w:footnote>
  <w:footnote w:type="continuationSeparator" w:id="0">
    <w:p w14:paraId="097A3258" w14:textId="77777777" w:rsidR="0013061F" w:rsidRDefault="0013061F">
      <w:pPr>
        <w:spacing w:line="240" w:lineRule="auto"/>
      </w:pPr>
      <w:r>
        <w:continuationSeparator/>
      </w:r>
    </w:p>
  </w:footnote>
  <w:footnote w:id="1">
    <w:p w14:paraId="25477C69" w14:textId="09930131" w:rsidR="00125048" w:rsidRDefault="006A2A7A">
      <w:pPr>
        <w:spacing w:line="240" w:lineRule="auto"/>
        <w:rPr>
          <w:rFonts w:ascii="Times New Roman" w:eastAsia="Times New Roman" w:hAnsi="Times New Roman" w:cs="Times New Roman"/>
          <w:sz w:val="26"/>
          <w:szCs w:val="26"/>
        </w:rPr>
      </w:pPr>
      <w:r>
        <w:rPr>
          <w:vertAlign w:val="superscript"/>
        </w:rPr>
        <w:footnoteRef/>
      </w:r>
      <w:r>
        <w:rPr>
          <w:rFonts w:ascii="Times New Roman" w:eastAsia="Times New Roman" w:hAnsi="Times New Roman" w:cs="Times New Roman"/>
          <w:sz w:val="26"/>
          <w:szCs w:val="26"/>
        </w:rPr>
        <w:t xml:space="preserve"> In </w:t>
      </w:r>
      <w:r>
        <w:rPr>
          <w:rFonts w:ascii="Times New Roman" w:eastAsia="Times New Roman" w:hAnsi="Times New Roman" w:cs="Times New Roman"/>
          <w:i/>
          <w:sz w:val="26"/>
          <w:szCs w:val="26"/>
        </w:rPr>
        <w:t>Jennings</w:t>
      </w:r>
      <w:r>
        <w:rPr>
          <w:rFonts w:ascii="Times New Roman" w:eastAsia="Times New Roman" w:hAnsi="Times New Roman" w:cs="Times New Roman"/>
          <w:sz w:val="26"/>
          <w:szCs w:val="26"/>
        </w:rPr>
        <w:t xml:space="preserve">, the Supreme Court held that “subject only to express exceptions, §§ 1225(b) and 1226(c) authorize detention until the end of applicable [removal] proceedings.” 138 S. Ct. at 842 (reversing Ninth Circuit’s interpretation requiring automatic periodic bond hearings under §§ 1225(b) and 1226(c)). The Supreme Court remanded to the Ninth Circuit, however, to address the Petitioner’s alternative argument—that his prolonged detention violated the Due Process Clause of the Fifth Amendment.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at 851. Here, like the Petitioner in </w:t>
      </w:r>
      <w:r>
        <w:rPr>
          <w:rFonts w:ascii="Times New Roman" w:eastAsia="Times New Roman" w:hAnsi="Times New Roman" w:cs="Times New Roman"/>
          <w:i/>
          <w:sz w:val="26"/>
          <w:szCs w:val="26"/>
        </w:rPr>
        <w:t>Jennings</w:t>
      </w:r>
      <w:r>
        <w:rPr>
          <w:rFonts w:ascii="Times New Roman" w:eastAsia="Times New Roman" w:hAnsi="Times New Roman" w:cs="Times New Roman"/>
          <w:sz w:val="26"/>
          <w:szCs w:val="26"/>
        </w:rPr>
        <w:t xml:space="preserv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argues that his prolonged mandatory detention violates the Due Process Clause of the Fifth Amendment.</w:t>
      </w:r>
    </w:p>
  </w:footnote>
  <w:footnote w:id="2">
    <w:p w14:paraId="427C940C" w14:textId="357AE55B" w:rsidR="00125048" w:rsidRDefault="006A2A7A">
      <w:pPr>
        <w:spacing w:before="240" w:line="240" w:lineRule="auto"/>
        <w:rPr>
          <w:rFonts w:ascii="Times New Roman" w:eastAsia="Times New Roman" w:hAnsi="Times New Roman" w:cs="Times New Roman"/>
          <w:sz w:val="26"/>
          <w:szCs w:val="26"/>
        </w:rPr>
      </w:pPr>
      <w:r>
        <w:rPr>
          <w:vertAlign w:val="superscript"/>
        </w:rPr>
        <w:footnoteRef/>
      </w:r>
      <w:r>
        <w:rPr>
          <w:rFonts w:ascii="Times New Roman" w:eastAsia="Times New Roman" w:hAnsi="Times New Roman" w:cs="Times New Roman"/>
          <w:sz w:val="26"/>
          <w:szCs w:val="26"/>
        </w:rPr>
        <w:t xml:space="preserve"> While </w:t>
      </w:r>
      <w:r>
        <w:rPr>
          <w:rFonts w:ascii="Times New Roman" w:eastAsia="Times New Roman" w:hAnsi="Times New Roman" w:cs="Times New Roman"/>
          <w:i/>
          <w:sz w:val="26"/>
          <w:szCs w:val="26"/>
        </w:rPr>
        <w:t>Jennings v. Rodriguez</w:t>
      </w:r>
      <w:r>
        <w:rPr>
          <w:rFonts w:ascii="Times New Roman" w:eastAsia="Times New Roman" w:hAnsi="Times New Roman" w:cs="Times New Roman"/>
          <w:sz w:val="26"/>
          <w:szCs w:val="26"/>
        </w:rPr>
        <w:t xml:space="preserve"> was being briefed, the government informed the Supreme Court it had “made several significant errors in calculating” the statistics which it provided to the Court in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and which the Court relied upon in its decision. Letter from Ian Heath Gershengorn, Acting Solicitor General, to Hon. Scott S. Harris, Clerk, Supreme Court (Aug. 26, 2016), </w:t>
      </w:r>
      <w:r>
        <w:rPr>
          <w:rFonts w:ascii="Times New Roman" w:eastAsia="Times New Roman" w:hAnsi="Times New Roman" w:cs="Times New Roman"/>
          <w:i/>
          <w:sz w:val="26"/>
          <w:szCs w:val="26"/>
        </w:rPr>
        <w:t>Demore v. Kim</w:t>
      </w:r>
      <w:r>
        <w:rPr>
          <w:rFonts w:ascii="Times New Roman" w:eastAsia="Times New Roman" w:hAnsi="Times New Roman" w:cs="Times New Roman"/>
          <w:sz w:val="26"/>
          <w:szCs w:val="26"/>
        </w:rPr>
        <w:t xml:space="preserve">, 538 U.S. 510 (2003) (No. 01-1491), available at http://on.wsj.com/2mtjnUP. The government had represented in </w:t>
      </w:r>
      <w:r>
        <w:rPr>
          <w:rFonts w:ascii="Times New Roman" w:eastAsia="Times New Roman" w:hAnsi="Times New Roman" w:cs="Times New Roman"/>
          <w:i/>
          <w:sz w:val="26"/>
          <w:szCs w:val="26"/>
        </w:rPr>
        <w:t xml:space="preserve">Demore </w:t>
      </w:r>
      <w:r>
        <w:rPr>
          <w:rFonts w:ascii="Times New Roman" w:eastAsia="Times New Roman" w:hAnsi="Times New Roman" w:cs="Times New Roman"/>
          <w:sz w:val="26"/>
          <w:szCs w:val="26"/>
        </w:rPr>
        <w:t xml:space="preserve">that cases of detained noncitizens involving a BIA appeal took on average “about five months;” however, those statistics did not acknowledge that cases took much longer at the IJ stage when there was an appeal, and that other time in those cases was unaccounted for.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at 3. The government’s revised statement is that total completion time in cases where there was an appeal averaged 382 days, with a median of 272 days.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see also</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Jennings v. Rodriguez</w:t>
      </w:r>
      <w:r>
        <w:rPr>
          <w:rFonts w:ascii="Times New Roman" w:eastAsia="Times New Roman" w:hAnsi="Times New Roman" w:cs="Times New Roman"/>
          <w:sz w:val="26"/>
          <w:szCs w:val="26"/>
        </w:rPr>
        <w:t xml:space="preserve">, 138 S. Ct. 830, 869 (2018) (Breyer, J., dissenting) (“The Government now tells us that the statistics it gave to the Court in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were wrong. Detention normally lasts twice as long as the Government then said it did. And, as I have pointed out, thousands of people here are held for considerably longer than six months without an opportunity to seek bail.”). For the </w:t>
      </w:r>
      <w:r>
        <w:rPr>
          <w:rFonts w:ascii="Times New Roman" w:eastAsia="Times New Roman" w:hAnsi="Times New Roman" w:cs="Times New Roman"/>
          <w:i/>
          <w:sz w:val="26"/>
          <w:szCs w:val="26"/>
        </w:rPr>
        <w:t>Jennings</w:t>
      </w:r>
      <w:r>
        <w:rPr>
          <w:rFonts w:ascii="Times New Roman" w:eastAsia="Times New Roman" w:hAnsi="Times New Roman" w:cs="Times New Roman"/>
          <w:sz w:val="26"/>
          <w:szCs w:val="26"/>
        </w:rPr>
        <w:t xml:space="preserve"> “mandatory subclass” of individuals like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who are subject to 1226(c) detention, “the average detention . . . is nearly ten times the average assumed in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(427 days). Even for appeals, the average is three times what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envisioned (448 days).”  Resp. Supp. Br., </w:t>
      </w:r>
      <w:r>
        <w:rPr>
          <w:rFonts w:ascii="Times New Roman" w:eastAsia="Times New Roman" w:hAnsi="Times New Roman" w:cs="Times New Roman"/>
          <w:i/>
          <w:sz w:val="26"/>
          <w:szCs w:val="26"/>
        </w:rPr>
        <w:t>Jennings v. Rodriguez</w:t>
      </w:r>
      <w:r>
        <w:rPr>
          <w:rFonts w:ascii="Times New Roman" w:eastAsia="Times New Roman" w:hAnsi="Times New Roman" w:cs="Times New Roman"/>
          <w:sz w:val="26"/>
          <w:szCs w:val="26"/>
        </w:rPr>
        <w:t>, No. 15-1204, 2017 WL 430386, at *31 (U.S. Jan. 31, 2017).</w:t>
      </w:r>
    </w:p>
  </w:footnote>
  <w:footnote w:id="3">
    <w:p w14:paraId="40486A46" w14:textId="7D41B197" w:rsidR="00125048" w:rsidRDefault="006A2A7A">
      <w:pPr>
        <w:spacing w:line="240" w:lineRule="auto"/>
        <w:rPr>
          <w:rFonts w:ascii="Times New Roman" w:eastAsia="Times New Roman" w:hAnsi="Times New Roman" w:cs="Times New Roman"/>
          <w:sz w:val="26"/>
          <w:szCs w:val="26"/>
        </w:rPr>
      </w:pPr>
      <w:r>
        <w:rPr>
          <w:vertAlign w:val="superscript"/>
        </w:rPr>
        <w:footnoteRef/>
      </w:r>
      <w:r>
        <w:rPr>
          <w:rFonts w:ascii="Times New Roman" w:eastAsia="Times New Roman" w:hAnsi="Times New Roman" w:cs="Times New Roman"/>
          <w:sz w:val="26"/>
          <w:szCs w:val="26"/>
        </w:rPr>
        <w:t xml:space="preserve"> Courts do not hold the time required to litigate “avenues of relief that the law makes available” against a detainee. </w:t>
      </w:r>
      <w:r>
        <w:rPr>
          <w:rFonts w:ascii="Times New Roman" w:eastAsia="Times New Roman" w:hAnsi="Times New Roman" w:cs="Times New Roman"/>
          <w:i/>
          <w:sz w:val="26"/>
          <w:szCs w:val="26"/>
        </w:rPr>
        <w:t>Ly</w:t>
      </w:r>
      <w:r>
        <w:rPr>
          <w:rFonts w:ascii="Times New Roman" w:eastAsia="Times New Roman" w:hAnsi="Times New Roman" w:cs="Times New Roman"/>
          <w:sz w:val="26"/>
          <w:szCs w:val="26"/>
        </w:rPr>
        <w:t xml:space="preserve">, 351 F.3d at 272. Since his arrival to the U.S. in 2006,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has raised legitimate defenses to removal, as evidenced by IJ Olmanson’s grant of Withholding of Removal in her December 22, 2011 Order. In later removal proceedings, IJ Olmanson granted </w:t>
      </w:r>
      <w:r w:rsidR="00C54975">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Motion to Reopen on July 10, 2018, </w:t>
      </w:r>
      <w:r w:rsidR="00133E5C">
        <w:rPr>
          <w:rFonts w:ascii="Times New Roman" w:eastAsia="Times New Roman" w:hAnsi="Times New Roman" w:cs="Times New Roman"/>
          <w:sz w:val="26"/>
          <w:szCs w:val="26"/>
        </w:rPr>
        <w:t xml:space="preserve">finding </w:t>
      </w:r>
      <w:r>
        <w:rPr>
          <w:rFonts w:ascii="Times New Roman" w:eastAsia="Times New Roman" w:hAnsi="Times New Roman" w:cs="Times New Roman"/>
          <w:sz w:val="26"/>
          <w:szCs w:val="26"/>
        </w:rPr>
        <w:t>good cause was established for doing so.</w:t>
      </w:r>
    </w:p>
  </w:footnote>
  <w:footnote w:id="4">
    <w:p w14:paraId="3521D812" w14:textId="77777777" w:rsidR="00125048" w:rsidRDefault="006A2A7A">
      <w:pPr>
        <w:spacing w:line="240" w:lineRule="auto"/>
        <w:rPr>
          <w:rFonts w:ascii="Times New Roman" w:eastAsia="Times New Roman" w:hAnsi="Times New Roman" w:cs="Times New Roman"/>
          <w:sz w:val="26"/>
          <w:szCs w:val="26"/>
        </w:rPr>
      </w:pPr>
      <w:r>
        <w:rPr>
          <w:vertAlign w:val="superscript"/>
        </w:rPr>
        <w:footnoteRef/>
      </w:r>
      <w:r>
        <w:rPr>
          <w:rFonts w:ascii="Times New Roman" w:eastAsia="Times New Roman" w:hAnsi="Times New Roman" w:cs="Times New Roman"/>
          <w:sz w:val="26"/>
          <w:szCs w:val="26"/>
        </w:rPr>
        <w:t xml:space="preserve"> For example, eligibility for cancellation of removal is predicated on factors such as the absence of an aggravated felony conviction and the length of ties to the community—both of which are factors that correspondingly decrease the risks of flight and danger. </w:t>
      </w:r>
      <w:r w:rsidRPr="003A2AA8">
        <w:rPr>
          <w:rFonts w:ascii="Times New Roman" w:eastAsia="Times New Roman" w:hAnsi="Times New Roman" w:cs="Times New Roman"/>
          <w:i/>
          <w:sz w:val="26"/>
          <w:szCs w:val="26"/>
        </w:rPr>
        <w:t>See</w:t>
      </w:r>
      <w:r>
        <w:rPr>
          <w:rFonts w:ascii="Times New Roman" w:eastAsia="Times New Roman" w:hAnsi="Times New Roman" w:cs="Times New Roman"/>
          <w:sz w:val="26"/>
          <w:szCs w:val="26"/>
        </w:rPr>
        <w:t xml:space="preserve"> 8 U.S.C. § 1229b(b)(1)(A), (C). Similarly, cancellation for immigrants who are not lawful permanent residents requires a showing of “good moral character,”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 1229b(b)(1)(B), making it unlikely that an immigrant who qualifies for such relief could present a heightened danger to the public.</w:t>
      </w:r>
    </w:p>
  </w:footnote>
  <w:footnote w:id="5">
    <w:p w14:paraId="6E6AFFCE" w14:textId="77777777" w:rsidR="00125048" w:rsidRDefault="006A2A7A">
      <w:pPr>
        <w:spacing w:line="240" w:lineRule="auto"/>
        <w:rPr>
          <w:rFonts w:ascii="Times New Roman" w:eastAsia="Times New Roman" w:hAnsi="Times New Roman" w:cs="Times New Roman"/>
          <w:sz w:val="26"/>
          <w:szCs w:val="26"/>
        </w:rPr>
      </w:pPr>
      <w:r>
        <w:rPr>
          <w:vertAlign w:val="superscript"/>
        </w:rPr>
        <w:footnoteRef/>
      </w:r>
      <w:r>
        <w:rPr>
          <w:rFonts w:ascii="Times New Roman" w:eastAsia="Times New Roman" w:hAnsi="Times New Roman" w:cs="Times New Roman"/>
          <w:sz w:val="26"/>
          <w:szCs w:val="26"/>
        </w:rPr>
        <w:t xml:space="preserve"> The </w:t>
      </w:r>
      <w:r>
        <w:rPr>
          <w:rFonts w:ascii="Times New Roman" w:eastAsia="Times New Roman" w:hAnsi="Times New Roman" w:cs="Times New Roman"/>
          <w:i/>
          <w:sz w:val="26"/>
          <w:szCs w:val="26"/>
        </w:rPr>
        <w:t xml:space="preserve">Demore </w:t>
      </w:r>
      <w:r>
        <w:rPr>
          <w:rFonts w:ascii="Times New Roman" w:eastAsia="Times New Roman" w:hAnsi="Times New Roman" w:cs="Times New Roman"/>
          <w:sz w:val="26"/>
          <w:szCs w:val="26"/>
        </w:rPr>
        <w:t xml:space="preserve">Court notably took it for granted that individuals subject to § 1226(c) would be removed eventually, or at least lose their case.  </w:t>
      </w:r>
      <w:r>
        <w:rPr>
          <w:rFonts w:ascii="Times New Roman" w:eastAsia="Times New Roman" w:hAnsi="Times New Roman" w:cs="Times New Roman"/>
          <w:i/>
          <w:sz w:val="26"/>
          <w:szCs w:val="26"/>
        </w:rPr>
        <w:t>See, e.g.</w:t>
      </w:r>
      <w:r>
        <w:rPr>
          <w:rFonts w:ascii="Times New Roman" w:eastAsia="Times New Roman" w:hAnsi="Times New Roman" w:cs="Times New Roman"/>
          <w:sz w:val="26"/>
          <w:szCs w:val="26"/>
        </w:rPr>
        <w:t xml:space="preserve">, 538 U.S. at 528 (“Such detention necessarily serves the purpose of preventing </w:t>
      </w:r>
      <w:r>
        <w:rPr>
          <w:rFonts w:ascii="Times New Roman" w:eastAsia="Times New Roman" w:hAnsi="Times New Roman" w:cs="Times New Roman"/>
          <w:i/>
          <w:sz w:val="26"/>
          <w:szCs w:val="26"/>
        </w:rPr>
        <w:t>deportable</w:t>
      </w:r>
      <w:r>
        <w:rPr>
          <w:rFonts w:ascii="Times New Roman" w:eastAsia="Times New Roman" w:hAnsi="Times New Roman" w:cs="Times New Roman"/>
          <w:sz w:val="26"/>
          <w:szCs w:val="26"/>
        </w:rPr>
        <w:t xml:space="preserve"> criminal aliens from fleeing prior to or during their removal proceedings.”) (emphasis added); </w:t>
      </w:r>
      <w:r>
        <w:rPr>
          <w:rFonts w:ascii="Times New Roman" w:eastAsia="Times New Roman" w:hAnsi="Times New Roman" w:cs="Times New Roman"/>
          <w:i/>
          <w:sz w:val="26"/>
          <w:szCs w:val="26"/>
        </w:rPr>
        <w:t xml:space="preserve">id. </w:t>
      </w:r>
      <w:r>
        <w:rPr>
          <w:rFonts w:ascii="Times New Roman" w:eastAsia="Times New Roman" w:hAnsi="Times New Roman" w:cs="Times New Roman"/>
          <w:sz w:val="26"/>
          <w:szCs w:val="26"/>
        </w:rPr>
        <w:t xml:space="preserve">at 529 (“In the remaining 15% of cases, in which the alien appeals the decision of the Immigration Judge to the Board of Immigration Appeals . . . .”);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at 531 (Kennedy, J., concurring) (“[T]he ultimate purpose behind the detention is premised upon the alien’s deportability.”).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64DF4"/>
    <w:multiLevelType w:val="multilevel"/>
    <w:tmpl w:val="849014DE"/>
    <w:lvl w:ilvl="0">
      <w:start w:val="1"/>
      <w:numFmt w:val="decimal"/>
      <w:lvlText w:val="%1."/>
      <w:lvlJc w:val="left"/>
      <w:pPr>
        <w:ind w:left="720" w:firstLine="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048"/>
    <w:rsid w:val="00125048"/>
    <w:rsid w:val="0013061F"/>
    <w:rsid w:val="00133E5C"/>
    <w:rsid w:val="0022613C"/>
    <w:rsid w:val="0030267B"/>
    <w:rsid w:val="00355BE8"/>
    <w:rsid w:val="003A2AA8"/>
    <w:rsid w:val="003F2A99"/>
    <w:rsid w:val="006A2A7A"/>
    <w:rsid w:val="006E2C5D"/>
    <w:rsid w:val="00870D1D"/>
    <w:rsid w:val="00A84838"/>
    <w:rsid w:val="00C5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338A"/>
  <w15:docId w15:val="{ACA2A04D-3441-4D04-9ABC-28FE97ED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355B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BE8"/>
    <w:rPr>
      <w:rFonts w:ascii="Segoe UI" w:hAnsi="Segoe UI" w:cs="Segoe UI"/>
      <w:sz w:val="18"/>
      <w:szCs w:val="18"/>
    </w:rPr>
  </w:style>
  <w:style w:type="paragraph" w:styleId="Header">
    <w:name w:val="header"/>
    <w:basedOn w:val="Normal"/>
    <w:link w:val="HeaderChar"/>
    <w:uiPriority w:val="99"/>
    <w:unhideWhenUsed/>
    <w:rsid w:val="00A84838"/>
    <w:pPr>
      <w:tabs>
        <w:tab w:val="center" w:pos="4680"/>
        <w:tab w:val="right" w:pos="9360"/>
      </w:tabs>
      <w:spacing w:line="240" w:lineRule="auto"/>
    </w:pPr>
  </w:style>
  <w:style w:type="character" w:customStyle="1" w:styleId="HeaderChar">
    <w:name w:val="Header Char"/>
    <w:basedOn w:val="DefaultParagraphFont"/>
    <w:link w:val="Header"/>
    <w:uiPriority w:val="99"/>
    <w:rsid w:val="00A84838"/>
  </w:style>
  <w:style w:type="paragraph" w:styleId="Footer">
    <w:name w:val="footer"/>
    <w:basedOn w:val="Normal"/>
    <w:link w:val="FooterChar"/>
    <w:uiPriority w:val="99"/>
    <w:unhideWhenUsed/>
    <w:rsid w:val="00A84838"/>
    <w:pPr>
      <w:tabs>
        <w:tab w:val="center" w:pos="4680"/>
        <w:tab w:val="right" w:pos="9360"/>
      </w:tabs>
      <w:spacing w:line="240" w:lineRule="auto"/>
    </w:pPr>
  </w:style>
  <w:style w:type="character" w:customStyle="1" w:styleId="FooterChar">
    <w:name w:val="Footer Char"/>
    <w:basedOn w:val="DefaultParagraphFont"/>
    <w:link w:val="Footer"/>
    <w:uiPriority w:val="99"/>
    <w:rsid w:val="00A84838"/>
  </w:style>
  <w:style w:type="character" w:styleId="CommentReference">
    <w:name w:val="annotation reference"/>
    <w:basedOn w:val="DefaultParagraphFont"/>
    <w:uiPriority w:val="99"/>
    <w:semiHidden/>
    <w:unhideWhenUsed/>
    <w:rsid w:val="00133E5C"/>
    <w:rPr>
      <w:sz w:val="16"/>
      <w:szCs w:val="16"/>
    </w:rPr>
  </w:style>
  <w:style w:type="paragraph" w:styleId="CommentText">
    <w:name w:val="annotation text"/>
    <w:basedOn w:val="Normal"/>
    <w:link w:val="CommentTextChar"/>
    <w:uiPriority w:val="99"/>
    <w:semiHidden/>
    <w:unhideWhenUsed/>
    <w:rsid w:val="00133E5C"/>
    <w:pPr>
      <w:spacing w:line="240" w:lineRule="auto"/>
    </w:pPr>
    <w:rPr>
      <w:sz w:val="20"/>
      <w:szCs w:val="20"/>
    </w:rPr>
  </w:style>
  <w:style w:type="character" w:customStyle="1" w:styleId="CommentTextChar">
    <w:name w:val="Comment Text Char"/>
    <w:basedOn w:val="DefaultParagraphFont"/>
    <w:link w:val="CommentText"/>
    <w:uiPriority w:val="99"/>
    <w:semiHidden/>
    <w:rsid w:val="00133E5C"/>
    <w:rPr>
      <w:sz w:val="20"/>
      <w:szCs w:val="20"/>
    </w:rPr>
  </w:style>
  <w:style w:type="paragraph" w:styleId="CommentSubject">
    <w:name w:val="annotation subject"/>
    <w:basedOn w:val="CommentText"/>
    <w:next w:val="CommentText"/>
    <w:link w:val="CommentSubjectChar"/>
    <w:uiPriority w:val="99"/>
    <w:semiHidden/>
    <w:unhideWhenUsed/>
    <w:rsid w:val="00133E5C"/>
    <w:rPr>
      <w:b/>
      <w:bCs/>
    </w:rPr>
  </w:style>
  <w:style w:type="character" w:customStyle="1" w:styleId="CommentSubjectChar">
    <w:name w:val="Comment Subject Char"/>
    <w:basedOn w:val="CommentTextChar"/>
    <w:link w:val="CommentSubject"/>
    <w:uiPriority w:val="99"/>
    <w:semiHidden/>
    <w:rsid w:val="00133E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ec0cef8316a5565838bd5df300c5e2b6">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8ab68582fc5e4286d9daafc13e837e17"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8DC4D-3E60-477B-9ABC-372F1DD131C2}">
  <ds:schemaRefs>
    <ds:schemaRef ds:uri="http://schemas.microsoft.com/sharepoint/v3/contenttype/forms"/>
  </ds:schemaRefs>
</ds:datastoreItem>
</file>

<file path=customXml/itemProps2.xml><?xml version="1.0" encoding="utf-8"?>
<ds:datastoreItem xmlns:ds="http://schemas.openxmlformats.org/officeDocument/2006/customXml" ds:itemID="{703CD020-E499-4159-8183-4BC832055DFC}">
  <ds:schemaRefs>
    <ds:schemaRef ds:uri="http://schemas.openxmlformats.org/officeDocument/2006/bibliography"/>
  </ds:schemaRefs>
</ds:datastoreItem>
</file>

<file path=customXml/itemProps3.xml><?xml version="1.0" encoding="utf-8"?>
<ds:datastoreItem xmlns:ds="http://schemas.openxmlformats.org/officeDocument/2006/customXml" ds:itemID="{D1305F72-39DD-4120-ADC2-5AE8C4B4A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FCEDD1-557D-4B1B-882A-3F6149499A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5651</Words>
  <Characters>41705</Characters>
  <Application>Microsoft Office Word</Application>
  <DocSecurity>0</DocSecurity>
  <Lines>5213</Lines>
  <Paragraphs>3642</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43714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Casper</dc:creator>
  <cp:lastModifiedBy>John Bruning</cp:lastModifiedBy>
  <cp:revision>3</cp:revision>
  <dcterms:created xsi:type="dcterms:W3CDTF">2020-04-15T21:22:00Z</dcterms:created>
  <dcterms:modified xsi:type="dcterms:W3CDTF">2020-12-04T19:41:00Z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ies>
</file>